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1" w:sz="4" w:val="single"/>
          <w:bottom w:color="000000" w:space="1" w:sz="4" w:val="single"/>
        </w:pBdr>
        <w:spacing w:after="0" w:line="276" w:lineRule="auto"/>
        <w:jc w:val="center"/>
        <w:rPr>
          <w:rFonts w:ascii="Tahoma" w:cs="Tahoma" w:eastAsia="Tahoma" w:hAnsi="Tahoma"/>
          <w:b w:val="1"/>
        </w:rPr>
      </w:pPr>
      <w:r w:rsidDel="00000000" w:rsidR="00000000" w:rsidRPr="00000000">
        <w:rPr>
          <w:rFonts w:ascii="Tahoma" w:cs="Tahoma" w:eastAsia="Tahoma" w:hAnsi="Tahoma"/>
          <w:b w:val="1"/>
          <w:rtl w:val="0"/>
        </w:rPr>
        <w:t xml:space="preserve">Penyelesaian Sengketa dalam Perjanjian Investasi: Tinjauan terhadap Klausul Arbitrase di Indonesia</w:t>
      </w:r>
      <w:r w:rsidDel="00000000" w:rsidR="00000000" w:rsidRPr="00000000">
        <w:rPr>
          <w:rtl w:val="0"/>
        </w:rPr>
      </w:r>
    </w:p>
    <w:p w:rsidR="00000000" w:rsidDel="00000000" w:rsidP="00000000" w:rsidRDefault="00000000" w:rsidRPr="00000000" w14:paraId="00000002">
      <w:pPr>
        <w:spacing w:after="0" w:line="276" w:lineRule="auto"/>
        <w:jc w:val="center"/>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03">
      <w:pPr>
        <w:spacing w:after="0" w:line="276"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Jesica Caroline Simmard, President University</w:t>
      </w:r>
    </w:p>
    <w:p w:rsidR="00000000" w:rsidDel="00000000" w:rsidP="00000000" w:rsidRDefault="00000000" w:rsidRPr="00000000" w14:paraId="00000004">
      <w:pPr>
        <w:spacing w:after="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DOI: -------------------------------------------------</w:t>
      </w:r>
    </w:p>
    <w:p w:rsidR="00000000" w:rsidDel="00000000" w:rsidP="00000000" w:rsidRDefault="00000000" w:rsidRPr="00000000" w14:paraId="00000005">
      <w:pPr>
        <w:keepLines w:val="1"/>
        <w:pBdr>
          <w:top w:color="000000" w:space="1" w:sz="4" w:val="single"/>
          <w:bottom w:color="000000" w:space="1" w:sz="4" w:val="single"/>
        </w:pBdr>
        <w:spacing w:after="0" w:line="276" w:lineRule="auto"/>
        <w:jc w:val="center"/>
        <w:rPr>
          <w:rFonts w:ascii="Tahoma" w:cs="Tahoma" w:eastAsia="Tahoma" w:hAnsi="Tahoma"/>
          <w:sz w:val="21"/>
          <w:szCs w:val="21"/>
        </w:rPr>
      </w:pPr>
      <w:r w:rsidDel="00000000" w:rsidR="00000000" w:rsidRPr="00000000">
        <w:rPr>
          <w:rFonts w:ascii="Tahoma" w:cs="Tahoma" w:eastAsia="Tahoma" w:hAnsi="Tahoma"/>
          <w:sz w:val="21"/>
          <w:szCs w:val="21"/>
          <w:rtl w:val="0"/>
        </w:rPr>
        <w:t xml:space="preserve">(Disubmit: 21 Mei 2025  | Diterima:                  | Dipublikasikan:                        )</w:t>
      </w:r>
    </w:p>
    <w:p w:rsidR="00000000" w:rsidDel="00000000" w:rsidP="00000000" w:rsidRDefault="00000000" w:rsidRPr="00000000" w14:paraId="00000006">
      <w:pPr>
        <w:spacing w:after="0" w:line="276" w:lineRule="auto"/>
        <w:ind w:right="2"/>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07">
      <w:pPr>
        <w:spacing w:after="0" w:line="276" w:lineRule="auto"/>
        <w:ind w:right="2"/>
        <w:jc w:val="center"/>
        <w:rPr>
          <w:rFonts w:ascii="Tahoma" w:cs="Tahoma" w:eastAsia="Tahoma" w:hAnsi="Tahoma"/>
          <w:sz w:val="21"/>
          <w:szCs w:val="21"/>
        </w:rPr>
      </w:pPr>
      <w:r w:rsidDel="00000000" w:rsidR="00000000" w:rsidRPr="00000000">
        <w:rPr>
          <w:rFonts w:ascii="Tahoma" w:cs="Tahoma" w:eastAsia="Tahoma" w:hAnsi="Tahoma"/>
          <w:b w:val="1"/>
          <w:sz w:val="19"/>
          <w:szCs w:val="19"/>
          <w:rtl w:val="0"/>
        </w:rPr>
        <w:t xml:space="preserve">ABSTRAK</w:t>
      </w:r>
      <w:r w:rsidDel="00000000" w:rsidR="00000000" w:rsidRPr="00000000">
        <w:rPr>
          <w:rtl w:val="0"/>
        </w:rPr>
      </w:r>
    </w:p>
    <w:p w:rsidR="00000000" w:rsidDel="00000000" w:rsidP="00000000" w:rsidRDefault="00000000" w:rsidRPr="00000000" w14:paraId="00000008">
      <w:pPr>
        <w:spacing w:after="0" w:line="276" w:lineRule="auto"/>
        <w:ind w:right="2"/>
        <w:jc w:val="both"/>
        <w:rPr>
          <w:rFonts w:ascii="Tahoma" w:cs="Tahoma" w:eastAsia="Tahoma" w:hAnsi="Tahoma"/>
          <w:sz w:val="19"/>
          <w:szCs w:val="19"/>
        </w:rPr>
      </w:pPr>
      <w:r w:rsidDel="00000000" w:rsidR="00000000" w:rsidRPr="00000000">
        <w:rPr>
          <w:rFonts w:ascii="Tahoma" w:cs="Tahoma" w:eastAsia="Tahoma" w:hAnsi="Tahoma"/>
          <w:sz w:val="19"/>
          <w:szCs w:val="19"/>
          <w:rtl w:val="0"/>
        </w:rPr>
        <w:t xml:space="preserve">Sengketa dalam perjanjian investasi sering kali melibatkan pihak-pihak dengan kepentingan ekonomi lintas batas yang kompleks, sehingga menuntut penyelesaian yang efisien, netral, dan berkekuatan hukum. Salah satu mekanisme yang paling umum digunakan adalah arbitrase, baik dalam bentuk nasional maupun internasional. Namun, di Indonesia, implementasi klausul arbitrase dalam perjanjian investasi masih menghadapi tantangan dari sisi konsistensi pengakuan hukum dan efektivitas ekskekusi putusan arbitrase. Penelitian ini bertujuan untuk menganalisis kedudukan hukum dan efektivitas klausul arbitrase dalam perjanjian investasi berdasarkan sistem hukum Indonesia. Metode penelitian yang digunkan adalah yuridis normatif, dengan pendekatan terhadap Undang-Undang Nomor 30 Tahun 1999 tentang Arbitrase dan ALternatif Penyelesaian Sengketa, serta kajian terhadap putusan-putusan arbitrase dan perjanjian investasi yang telah disahkan. Hasil penelitian menunjukkan bahwa meskipun klausul arbitrase telah diakui secara legal, pelaksanaannya masih terkendala oleh masalh jurisdiksi, keberlakuan klausul baku, serta tumpang tindih kewenangan antara pengadilan dan lembaga arbitrase. Oleh karena itu, perlu adanya harmonisasi regulasi dan penguatan kelembagaan arbitrase agar mampu menjamin kepastian hukum dan menarik lebih banyak investasi asing langsung ke Indonesia.</w:t>
      </w:r>
    </w:p>
    <w:p w:rsidR="00000000" w:rsidDel="00000000" w:rsidP="00000000" w:rsidRDefault="00000000" w:rsidRPr="00000000" w14:paraId="00000009">
      <w:pPr>
        <w:spacing w:after="0" w:line="276" w:lineRule="auto"/>
        <w:ind w:right="2"/>
        <w:rPr>
          <w:rFonts w:ascii="Tahoma" w:cs="Tahoma" w:eastAsia="Tahoma" w:hAnsi="Tahoma"/>
          <w:sz w:val="19"/>
          <w:szCs w:val="19"/>
        </w:rPr>
      </w:pPr>
      <w:r w:rsidDel="00000000" w:rsidR="00000000" w:rsidRPr="00000000">
        <w:rPr>
          <w:rtl w:val="0"/>
        </w:rPr>
      </w:r>
    </w:p>
    <w:p w:rsidR="00000000" w:rsidDel="00000000" w:rsidP="00000000" w:rsidRDefault="00000000" w:rsidRPr="00000000" w14:paraId="0000000A">
      <w:pPr>
        <w:spacing w:after="0" w:line="276" w:lineRule="auto"/>
        <w:ind w:right="2"/>
        <w:rPr>
          <w:rFonts w:ascii="Tahoma" w:cs="Tahoma" w:eastAsia="Tahoma" w:hAnsi="Tahoma"/>
          <w:sz w:val="19"/>
          <w:szCs w:val="19"/>
        </w:rPr>
      </w:pPr>
      <w:r w:rsidDel="00000000" w:rsidR="00000000" w:rsidRPr="00000000">
        <w:rPr>
          <w:rFonts w:ascii="Tahoma" w:cs="Tahoma" w:eastAsia="Tahoma" w:hAnsi="Tahoma"/>
          <w:b w:val="1"/>
          <w:sz w:val="19"/>
          <w:szCs w:val="19"/>
          <w:rtl w:val="0"/>
        </w:rPr>
        <w:t xml:space="preserve">KATA KUNCI</w:t>
      </w:r>
      <w:r w:rsidDel="00000000" w:rsidR="00000000" w:rsidRPr="00000000">
        <w:rPr>
          <w:rFonts w:ascii="Tahoma" w:cs="Tahoma" w:eastAsia="Tahoma" w:hAnsi="Tahoma"/>
          <w:sz w:val="19"/>
          <w:szCs w:val="19"/>
          <w:rtl w:val="0"/>
        </w:rPr>
        <w:t xml:space="preserve">: Perjanjian Investasi, Arbitrase, Penyelesaian Sengketa, Alternatif Penyelesaian Sengketa, Kepastian Hukum.</w:t>
      </w:r>
    </w:p>
    <w:p w:rsidR="00000000" w:rsidDel="00000000" w:rsidP="00000000" w:rsidRDefault="00000000" w:rsidRPr="00000000" w14:paraId="0000000B">
      <w:pPr>
        <w:spacing w:after="0" w:line="276" w:lineRule="auto"/>
        <w:ind w:right="2"/>
        <w:jc w:val="both"/>
        <w:rPr>
          <w:rFonts w:ascii="Tahoma" w:cs="Tahoma" w:eastAsia="Tahoma" w:hAnsi="Tahoma"/>
          <w:b w:val="1"/>
          <w:sz w:val="19"/>
          <w:szCs w:val="19"/>
        </w:rPr>
      </w:pPr>
      <w:r w:rsidDel="00000000" w:rsidR="00000000" w:rsidRPr="00000000">
        <w:rPr>
          <w:rtl w:val="0"/>
        </w:rPr>
      </w:r>
    </w:p>
    <w:p w:rsidR="00000000" w:rsidDel="00000000" w:rsidP="00000000" w:rsidRDefault="00000000" w:rsidRPr="00000000" w14:paraId="0000000C">
      <w:pPr>
        <w:spacing w:after="0" w:line="276" w:lineRule="auto"/>
        <w:ind w:right="2"/>
        <w:jc w:val="center"/>
        <w:rPr>
          <w:rFonts w:ascii="Tahoma" w:cs="Tahoma" w:eastAsia="Tahoma" w:hAnsi="Tahoma"/>
          <w:b w:val="1"/>
          <w:i w:val="1"/>
          <w:sz w:val="19"/>
          <w:szCs w:val="19"/>
        </w:rPr>
      </w:pPr>
      <w:r w:rsidDel="00000000" w:rsidR="00000000" w:rsidRPr="00000000">
        <w:rPr>
          <w:rFonts w:ascii="Tahoma" w:cs="Tahoma" w:eastAsia="Tahoma" w:hAnsi="Tahoma"/>
          <w:b w:val="1"/>
          <w:i w:val="1"/>
          <w:sz w:val="19"/>
          <w:szCs w:val="19"/>
          <w:rtl w:val="0"/>
        </w:rPr>
        <w:t xml:space="preserve">ABSTRACT</w:t>
      </w:r>
    </w:p>
    <w:p w:rsidR="00000000" w:rsidDel="00000000" w:rsidP="00000000" w:rsidRDefault="00000000" w:rsidRPr="00000000" w14:paraId="0000000D">
      <w:pPr>
        <w:spacing w:after="0" w:line="276" w:lineRule="auto"/>
        <w:ind w:right="2"/>
        <w:jc w:val="both"/>
        <w:rPr>
          <w:rFonts w:ascii="Tahoma" w:cs="Tahoma" w:eastAsia="Tahoma" w:hAnsi="Tahoma"/>
          <w:i w:val="1"/>
          <w:sz w:val="19"/>
          <w:szCs w:val="19"/>
        </w:rPr>
      </w:pPr>
      <w:r w:rsidDel="00000000" w:rsidR="00000000" w:rsidRPr="00000000">
        <w:rPr>
          <w:rFonts w:ascii="Tahoma" w:cs="Tahoma" w:eastAsia="Tahoma" w:hAnsi="Tahoma"/>
          <w:i w:val="1"/>
          <w:sz w:val="19"/>
          <w:szCs w:val="19"/>
          <w:rtl w:val="0"/>
        </w:rPr>
        <w:t xml:space="preserve">Disputes in investment agreements often involve parties with complex cross-border economic interests, demanding a resolution mechanism that is efficient, neutral, and legally enforceable. One of the most commonly adopted methods is </w:t>
      </w:r>
      <w:r w:rsidDel="00000000" w:rsidR="00000000" w:rsidRPr="00000000">
        <w:rPr>
          <w:rFonts w:ascii="Tahoma" w:cs="Tahoma" w:eastAsia="Tahoma" w:hAnsi="Tahoma"/>
          <w:b w:val="1"/>
          <w:i w:val="1"/>
          <w:sz w:val="19"/>
          <w:szCs w:val="19"/>
          <w:rtl w:val="0"/>
        </w:rPr>
        <w:t xml:space="preserve">arbitration</w:t>
      </w:r>
      <w:r w:rsidDel="00000000" w:rsidR="00000000" w:rsidRPr="00000000">
        <w:rPr>
          <w:rFonts w:ascii="Tahoma" w:cs="Tahoma" w:eastAsia="Tahoma" w:hAnsi="Tahoma"/>
          <w:i w:val="1"/>
          <w:sz w:val="19"/>
          <w:szCs w:val="19"/>
          <w:rtl w:val="0"/>
        </w:rPr>
        <w:t xml:space="preserve">, both at the national and international levels. However, in Indonesia, the implementation of arbitration clauses in investment agreements still faces challenges regarding legal recognition and the effectiveness of arbitral award enforcement. This study aims to analyze the legal position and effectiveness of arbitration clauses in investment contracts under the Indonesian legal framework. A </w:t>
      </w:r>
      <w:r w:rsidDel="00000000" w:rsidR="00000000" w:rsidRPr="00000000">
        <w:rPr>
          <w:rFonts w:ascii="Tahoma" w:cs="Tahoma" w:eastAsia="Tahoma" w:hAnsi="Tahoma"/>
          <w:b w:val="1"/>
          <w:i w:val="1"/>
          <w:sz w:val="19"/>
          <w:szCs w:val="19"/>
          <w:rtl w:val="0"/>
        </w:rPr>
        <w:t xml:space="preserve">normative juridical method</w:t>
      </w:r>
      <w:r w:rsidDel="00000000" w:rsidR="00000000" w:rsidRPr="00000000">
        <w:rPr>
          <w:rFonts w:ascii="Tahoma" w:cs="Tahoma" w:eastAsia="Tahoma" w:hAnsi="Tahoma"/>
          <w:i w:val="1"/>
          <w:sz w:val="19"/>
          <w:szCs w:val="19"/>
          <w:rtl w:val="0"/>
        </w:rPr>
        <w:t xml:space="preserve"> is used, focusing on Law No. 30 of 1999 on Arbitration and Alternative Dispute Resolution, along with a doctrinal analysis of investment contracts and relevant arbitral decisions. The findings indicate that although arbitration clauses are legally recognized, their practical enforcement is often hindered by issues such as jurisdictional overlap, ambiguity in standard clauses, and inconsistencies between courts and arbitration institutions. Therefore, regulatory harmonization and institutional strengthening are necessary to ensure legal certainty and to promote Indonesia as a more attractive destination for direct foreign investment.</w:t>
      </w:r>
    </w:p>
    <w:p w:rsidR="00000000" w:rsidDel="00000000" w:rsidP="00000000" w:rsidRDefault="00000000" w:rsidRPr="00000000" w14:paraId="0000000E">
      <w:pPr>
        <w:spacing w:after="0" w:line="276" w:lineRule="auto"/>
        <w:ind w:right="2"/>
        <w:rPr>
          <w:rFonts w:ascii="Tahoma" w:cs="Tahoma" w:eastAsia="Tahoma" w:hAnsi="Tahoma"/>
          <w:i w:val="1"/>
          <w:sz w:val="19"/>
          <w:szCs w:val="19"/>
        </w:rPr>
      </w:pPr>
      <w:r w:rsidDel="00000000" w:rsidR="00000000" w:rsidRPr="00000000">
        <w:rPr>
          <w:rtl w:val="0"/>
        </w:rPr>
      </w:r>
    </w:p>
    <w:p w:rsidR="00000000" w:rsidDel="00000000" w:rsidP="00000000" w:rsidRDefault="00000000" w:rsidRPr="00000000" w14:paraId="0000000F">
      <w:pPr>
        <w:spacing w:after="0" w:line="276" w:lineRule="auto"/>
        <w:ind w:right="2"/>
        <w:rPr>
          <w:rFonts w:ascii="Tahoma" w:cs="Tahoma" w:eastAsia="Tahoma" w:hAnsi="Tahoma"/>
          <w:i w:val="1"/>
          <w:sz w:val="19"/>
          <w:szCs w:val="19"/>
        </w:rPr>
      </w:pPr>
      <w:r w:rsidDel="00000000" w:rsidR="00000000" w:rsidRPr="00000000">
        <w:rPr>
          <w:rFonts w:ascii="Tahoma" w:cs="Tahoma" w:eastAsia="Tahoma" w:hAnsi="Tahoma"/>
          <w:b w:val="1"/>
          <w:i w:val="1"/>
          <w:sz w:val="19"/>
          <w:szCs w:val="19"/>
          <w:rtl w:val="0"/>
        </w:rPr>
        <w:t xml:space="preserve">KEYWORDS</w:t>
      </w:r>
      <w:r w:rsidDel="00000000" w:rsidR="00000000" w:rsidRPr="00000000">
        <w:rPr>
          <w:rFonts w:ascii="Tahoma" w:cs="Tahoma" w:eastAsia="Tahoma" w:hAnsi="Tahoma"/>
          <w:i w:val="1"/>
          <w:sz w:val="19"/>
          <w:szCs w:val="19"/>
          <w:rtl w:val="0"/>
        </w:rPr>
        <w:t xml:space="preserve">: Investment Agreement, Arbitration Clause, Dispute Resolution, Legal Certainty, Indonesian Investment Law.</w:t>
      </w:r>
    </w:p>
    <w:p w:rsidR="00000000" w:rsidDel="00000000" w:rsidP="00000000" w:rsidRDefault="00000000" w:rsidRPr="00000000" w14:paraId="00000010">
      <w:pPr>
        <w:spacing w:after="0" w:line="276" w:lineRule="auto"/>
        <w:ind w:right="2"/>
        <w:rPr>
          <w:rFonts w:ascii="Tahoma" w:cs="Tahoma" w:eastAsia="Tahoma" w:hAnsi="Tahoma"/>
          <w:i w:val="1"/>
          <w:sz w:val="19"/>
          <w:szCs w:val="19"/>
        </w:rPr>
      </w:pPr>
      <w:r w:rsidDel="00000000" w:rsidR="00000000" w:rsidRPr="00000000">
        <w:rPr>
          <w:rtl w:val="0"/>
        </w:rPr>
      </w:r>
    </w:p>
    <w:p w:rsidR="00000000" w:rsidDel="00000000" w:rsidP="00000000" w:rsidRDefault="00000000" w:rsidRPr="00000000" w14:paraId="00000011">
      <w:pPr>
        <w:spacing w:after="0" w:line="276" w:lineRule="auto"/>
        <w:ind w:right="2"/>
        <w:rPr>
          <w:rFonts w:ascii="Tahoma" w:cs="Tahoma" w:eastAsia="Tahoma" w:hAnsi="Tahoma"/>
          <w:i w:val="1"/>
          <w:sz w:val="19"/>
          <w:szCs w:val="19"/>
        </w:rPr>
      </w:pPr>
      <w:r w:rsidDel="00000000" w:rsidR="00000000" w:rsidRPr="00000000">
        <w:rPr>
          <w:rFonts w:ascii="Tahoma" w:cs="Tahoma" w:eastAsia="Tahoma" w:hAnsi="Tahoma"/>
          <w:b w:val="1"/>
          <w:i w:val="1"/>
          <w:sz w:val="19"/>
          <w:szCs w:val="19"/>
          <w:rtl w:val="0"/>
        </w:rPr>
        <w:t xml:space="preserve"> </w:t>
      </w:r>
      <w:r w:rsidDel="00000000" w:rsidR="00000000" w:rsidRPr="00000000">
        <w:rPr>
          <w:rtl w:val="0"/>
        </w:rPr>
      </w:r>
    </w:p>
    <w:p w:rsidR="00000000" w:rsidDel="00000000" w:rsidP="00000000" w:rsidRDefault="00000000" w:rsidRPr="00000000" w14:paraId="00000012">
      <w:pPr>
        <w:widowControl w:val="0"/>
        <w:spacing w:after="0" w:line="276" w:lineRule="auto"/>
        <w:jc w:val="both"/>
        <w:rPr>
          <w:rFonts w:ascii="Tahoma" w:cs="Tahoma" w:eastAsia="Tahoma" w:hAnsi="Tahoma"/>
          <w:b w:val="1"/>
          <w:color w:val="000000"/>
          <w:sz w:val="21"/>
          <w:szCs w:val="21"/>
        </w:rPr>
      </w:pPr>
      <w:bookmarkStart w:colFirst="0" w:colLast="0" w:name="_kacdzpigp1ef" w:id="0"/>
      <w:bookmarkEnd w:id="0"/>
      <w:r w:rsidDel="00000000" w:rsidR="00000000" w:rsidRPr="00000000">
        <w:rPr>
          <w:rFonts w:ascii="Tahoma" w:cs="Tahoma" w:eastAsia="Tahoma" w:hAnsi="Tahoma"/>
          <w:b w:val="1"/>
          <w:color w:val="000000"/>
          <w:sz w:val="21"/>
          <w:szCs w:val="21"/>
          <w:rtl w:val="0"/>
        </w:rPr>
        <w:t xml:space="preserve">I. </w:t>
      </w:r>
      <w:r w:rsidDel="00000000" w:rsidR="00000000" w:rsidRPr="00000000">
        <w:rPr>
          <w:rFonts w:ascii="Tahoma" w:cs="Tahoma" w:eastAsia="Tahoma" w:hAnsi="Tahoma"/>
          <w:b w:val="1"/>
          <w:sz w:val="21"/>
          <w:szCs w:val="21"/>
          <w:rtl w:val="0"/>
        </w:rPr>
        <w:t xml:space="preserve">PENDAHULUA</w:t>
      </w:r>
      <w:r w:rsidDel="00000000" w:rsidR="00000000" w:rsidRPr="00000000">
        <w:rPr>
          <w:rFonts w:ascii="Tahoma" w:cs="Tahoma" w:eastAsia="Tahoma" w:hAnsi="Tahoma"/>
          <w:b w:val="1"/>
          <w:color w:val="000000"/>
          <w:sz w:val="21"/>
          <w:szCs w:val="21"/>
          <w:rtl w:val="0"/>
        </w:rPr>
        <w:t xml:space="preserve">N</w:t>
      </w:r>
    </w:p>
    <w:p w:rsidR="00000000" w:rsidDel="00000000" w:rsidP="00000000" w:rsidRDefault="00000000" w:rsidRPr="00000000" w14:paraId="00000013">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Dalam era investasi lintas negara yang semakin berkembang, kepastian hukum atas mekanisme penyelesaian sengketa menjadi salah satu faktor utama yang menentukan minat dan keberanian investor, khususnya investor asing, untuk menanamkan modalnya. Salah satu bentuk mekanisme penyelesaian sengketa yang paling banyak digunakan dalam perjanjian investasi adalah arbitrase, baik arbitrase nasional maupun internasional. Arbitrase dianggap menawarkan jalur penyelesaian yang netral, efisien, dan mengikat, yang penting untuk melindungi hak dan kepentingan para pihak. Di Indonesia, keberadaan arbitrase telah diakui melalui Undang-Undang Nomor 30 Tahun 1999 tentang Arbitrase dan Alternatif Penyelesaian Sengketa. Namun, dalam praktiknya, pelaksanaan klausul arbitrase dalam perjanjian investasi masih menghadapi sejumlah tantangan normatif dan implementatif. </w:t>
      </w:r>
    </w:p>
    <w:p w:rsidR="00000000" w:rsidDel="00000000" w:rsidP="00000000" w:rsidRDefault="00000000" w:rsidRPr="00000000" w14:paraId="00000014">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Beberapa penelitian terdahulu telah membahas aspek hukum arbitrase dalam konteks investasi. Hendrawan (2016) menyoroti bahwa arbitrase merupakan instrumen penting dalam mencegah ketidakadilan dalam penyelesaian sengketa investasi asing langsung</w:t>
      </w:r>
      <w:r w:rsidDel="00000000" w:rsidR="00000000" w:rsidRPr="00000000">
        <w:rPr>
          <w:rFonts w:ascii="Tahoma" w:cs="Tahoma" w:eastAsia="Tahoma" w:hAnsi="Tahoma"/>
          <w:sz w:val="21"/>
          <w:szCs w:val="21"/>
          <w:vertAlign w:val="superscript"/>
        </w:rPr>
        <w:footnoteReference w:customMarkFollows="0" w:id="0"/>
      </w:r>
      <w:r w:rsidDel="00000000" w:rsidR="00000000" w:rsidRPr="00000000">
        <w:rPr>
          <w:rFonts w:ascii="Tahoma" w:cs="Tahoma" w:eastAsia="Tahoma" w:hAnsi="Tahoma"/>
          <w:sz w:val="21"/>
          <w:szCs w:val="21"/>
          <w:rtl w:val="0"/>
        </w:rPr>
        <w:t xml:space="preserve">. Dewi dan Afriansyah (2019) juga membahas mekanisme ISDS (Investor-State Dispute Settlement) dalam perjanjian investasi bilateral Indonesia</w:t>
      </w:r>
      <w:r w:rsidDel="00000000" w:rsidR="00000000" w:rsidRPr="00000000">
        <w:rPr>
          <w:rFonts w:ascii="Tahoma" w:cs="Tahoma" w:eastAsia="Tahoma" w:hAnsi="Tahoma"/>
          <w:sz w:val="21"/>
          <w:szCs w:val="21"/>
          <w:vertAlign w:val="superscript"/>
        </w:rPr>
        <w:footnoteReference w:customMarkFollows="0" w:id="1"/>
      </w:r>
      <w:r w:rsidDel="00000000" w:rsidR="00000000" w:rsidRPr="00000000">
        <w:rPr>
          <w:rFonts w:ascii="Tahoma" w:cs="Tahoma" w:eastAsia="Tahoma" w:hAnsi="Tahoma"/>
          <w:sz w:val="21"/>
          <w:szCs w:val="21"/>
          <w:rtl w:val="0"/>
        </w:rPr>
        <w:t xml:space="preserve">. Di sisi lain, Adolf (2019) mengulas perjalanan sikap hukum Indonesia terhadap investasi asing dan arbitrase internasional sejak masa orde lama hingga era liberalisasi</w:t>
      </w:r>
      <w:r w:rsidDel="00000000" w:rsidR="00000000" w:rsidRPr="00000000">
        <w:rPr>
          <w:rFonts w:ascii="Tahoma" w:cs="Tahoma" w:eastAsia="Tahoma" w:hAnsi="Tahoma"/>
          <w:sz w:val="21"/>
          <w:szCs w:val="21"/>
          <w:vertAlign w:val="superscript"/>
        </w:rPr>
        <w:footnoteReference w:customMarkFollows="0" w:id="2"/>
      </w:r>
      <w:r w:rsidDel="00000000" w:rsidR="00000000" w:rsidRPr="00000000">
        <w:rPr>
          <w:rFonts w:ascii="Tahoma" w:cs="Tahoma" w:eastAsia="Tahoma" w:hAnsi="Tahoma"/>
          <w:sz w:val="21"/>
          <w:szCs w:val="21"/>
          <w:rtl w:val="0"/>
        </w:rPr>
        <w:t xml:space="preserve">. Meskipun demikian, kajian-kajian tersebut lebih banyak berfokus pada arbitrase berbasis perjanjian internasional, dan belum mengupas secara tuntas mengenai efektivitas </w:t>
      </w:r>
      <w:r w:rsidDel="00000000" w:rsidR="00000000" w:rsidRPr="00000000">
        <w:rPr>
          <w:rFonts w:ascii="Tahoma" w:cs="Tahoma" w:eastAsia="Tahoma" w:hAnsi="Tahoma"/>
          <w:b w:val="1"/>
          <w:sz w:val="21"/>
          <w:szCs w:val="21"/>
          <w:rtl w:val="0"/>
        </w:rPr>
        <w:t xml:space="preserve">klausul arbitrase dalam perjanjian investasi kontraktual yang tunduk pada hukum nasional Indonesia</w:t>
      </w:r>
      <w:r w:rsidDel="00000000" w:rsidR="00000000" w:rsidRPr="00000000">
        <w:rPr>
          <w:rFonts w:ascii="Tahoma" w:cs="Tahoma" w:eastAsia="Tahoma" w:hAnsi="Tahoma"/>
          <w:sz w:val="21"/>
          <w:szCs w:val="21"/>
          <w:rtl w:val="0"/>
        </w:rPr>
        <w:t xml:space="preserve">. </w:t>
      </w:r>
    </w:p>
    <w:p w:rsidR="00000000" w:rsidDel="00000000" w:rsidP="00000000" w:rsidRDefault="00000000" w:rsidRPr="00000000" w14:paraId="00000015">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Penelitian ini bertujuan untuk mengisi celah tersebut dengan menelaah secara kritis bagiamana klausul arbitrase diterapkan dalam perjanjian investasi di Indonesia. Fokus penelitian terletak pada keterkaitan antara asas kebebasan berkontrak dan campur tangan hukum publik dalam pelaksaan putusan arbitrase. Isu seperti resistensi pengadilan terhadap pelaksanaan putusan arbitrase asing, kekosongan hukum terkait eksekusi, serta penerapan doktrin tindakan negara (state act doctrine) menjadi hambatan yang patut ditelaah lebih lanjut (Justitia Et Pax, 2023)</w:t>
      </w:r>
      <w:r w:rsidDel="00000000" w:rsidR="00000000" w:rsidRPr="00000000">
        <w:rPr>
          <w:rFonts w:ascii="Tahoma" w:cs="Tahoma" w:eastAsia="Tahoma" w:hAnsi="Tahoma"/>
          <w:sz w:val="21"/>
          <w:szCs w:val="21"/>
          <w:vertAlign w:val="superscript"/>
        </w:rPr>
        <w:footnoteReference w:customMarkFollows="0" w:id="3"/>
      </w:r>
      <w:r w:rsidDel="00000000" w:rsidR="00000000" w:rsidRPr="00000000">
        <w:rPr>
          <w:rFonts w:ascii="Tahoma" w:cs="Tahoma" w:eastAsia="Tahoma" w:hAnsi="Tahoma"/>
          <w:sz w:val="21"/>
          <w:szCs w:val="21"/>
          <w:rtl w:val="0"/>
        </w:rPr>
        <w:t xml:space="preserve">. Kebaruan penelitian ini terletak pada pendekatannya yang menitikberatkan pada analisis normatif dan kelembagaan terhadap efektivitas klausul arbitrase investasi dalam hukum Indonesia.</w:t>
      </w:r>
    </w:p>
    <w:p w:rsidR="00000000" w:rsidDel="00000000" w:rsidP="00000000" w:rsidRDefault="00000000" w:rsidRPr="00000000" w14:paraId="00000016">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Adapun tujuan utama penelitian ini adalah mengevaluasi landasan hukum, tantangan implementasi, dan strategi penguatan efektivitas klausul arbitrase dalam perjanjian investasi di Indonesia. Struktur jurnal ini dibagi menjadi lima bagian: Bagian II membahas metode penelitian; Bagian III menguraikan dasar hukum dan klasifikasi klausul arbitrase dalam perjanjian investasi; Bagian IV menganalisis tantangan implementasi dan respon kelembagaan; dan Bagian V menyajikan kesimpulan serta rekomendasi kebijakan.</w:t>
      </w:r>
    </w:p>
    <w:p w:rsidR="00000000" w:rsidDel="00000000" w:rsidP="00000000" w:rsidRDefault="00000000" w:rsidRPr="00000000" w14:paraId="00000017">
      <w:pPr>
        <w:widowControl w:val="0"/>
        <w:spacing w:after="0" w:line="276" w:lineRule="auto"/>
        <w:ind w:firstLine="567"/>
        <w:jc w:val="both"/>
        <w:rPr>
          <w:rFonts w:ascii="Tahoma" w:cs="Tahoma" w:eastAsia="Tahoma" w:hAnsi="Tahoma"/>
          <w:color w:val="000000"/>
          <w:sz w:val="21"/>
          <w:szCs w:val="21"/>
        </w:rPr>
      </w:pPr>
      <w:r w:rsidDel="00000000" w:rsidR="00000000" w:rsidRPr="00000000">
        <w:rPr>
          <w:rtl w:val="0"/>
        </w:rPr>
      </w:r>
    </w:p>
    <w:p w:rsidR="00000000" w:rsidDel="00000000" w:rsidP="00000000" w:rsidRDefault="00000000" w:rsidRPr="00000000" w14:paraId="00000018">
      <w:pPr>
        <w:widowControl w:val="0"/>
        <w:spacing w:after="0" w:line="276" w:lineRule="auto"/>
        <w:jc w:val="both"/>
        <w:rPr>
          <w:rFonts w:ascii="Tahoma" w:cs="Tahoma" w:eastAsia="Tahoma" w:hAnsi="Tahoma"/>
          <w:b w:val="1"/>
          <w:color w:val="000000"/>
          <w:sz w:val="21"/>
          <w:szCs w:val="21"/>
        </w:rPr>
      </w:pPr>
      <w:r w:rsidDel="00000000" w:rsidR="00000000" w:rsidRPr="00000000">
        <w:rPr>
          <w:rFonts w:ascii="Tahoma" w:cs="Tahoma" w:eastAsia="Tahoma" w:hAnsi="Tahoma"/>
          <w:b w:val="1"/>
          <w:color w:val="000000"/>
          <w:sz w:val="21"/>
          <w:szCs w:val="21"/>
          <w:rtl w:val="0"/>
        </w:rPr>
        <w:t xml:space="preserve">II. MET</w:t>
      </w:r>
      <w:r w:rsidDel="00000000" w:rsidR="00000000" w:rsidRPr="00000000">
        <w:rPr>
          <w:rFonts w:ascii="Tahoma" w:cs="Tahoma" w:eastAsia="Tahoma" w:hAnsi="Tahoma"/>
          <w:b w:val="1"/>
          <w:sz w:val="21"/>
          <w:szCs w:val="21"/>
          <w:rtl w:val="0"/>
        </w:rPr>
        <w:t xml:space="preserve">ODE PENELITIAN</w:t>
      </w:r>
      <w:r w:rsidDel="00000000" w:rsidR="00000000" w:rsidRPr="00000000">
        <w:rPr>
          <w:rtl w:val="0"/>
        </w:rPr>
      </w:r>
    </w:p>
    <w:p w:rsidR="00000000" w:rsidDel="00000000" w:rsidP="00000000" w:rsidRDefault="00000000" w:rsidRPr="00000000" w14:paraId="00000019">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Penelitian ini menggunakan pendekatan yuridis normatif, yaitu penelitian yang bertumpu pada studi literatur dan peraturan perundang-undangan yang berlaku untuk menganalisis keabsahan dan efektivitas klausul arbitrase dalam perjanjian investasi. Pendekatan ini dipilih karena topik yang dipilih karena topik yang dikaji berkaitan langsung dengan norma hukum tertulis, termasuk UU No. 30 Tahun 1999 tentang Arbitrase dan Alternatif Penyelesaian Sengketa, serta Putusan Mahkamah Agung dan peraturan pelaksana lainnya. Metode normatif sangat sesuai untuk mengevaluasi keselarasan antara prinsip hukum kontrak dan implementasi arbitrase dalam praktik hukum investasi di Indonesia (Agus, 2023)</w:t>
      </w:r>
      <w:r w:rsidDel="00000000" w:rsidR="00000000" w:rsidRPr="00000000">
        <w:rPr>
          <w:rFonts w:ascii="Tahoma" w:cs="Tahoma" w:eastAsia="Tahoma" w:hAnsi="Tahoma"/>
          <w:sz w:val="21"/>
          <w:szCs w:val="21"/>
          <w:vertAlign w:val="superscript"/>
        </w:rPr>
        <w:footnoteReference w:customMarkFollows="0" w:id="4"/>
      </w:r>
      <w:r w:rsidDel="00000000" w:rsidR="00000000" w:rsidRPr="00000000">
        <w:rPr>
          <w:rFonts w:ascii="Tahoma" w:cs="Tahoma" w:eastAsia="Tahoma" w:hAnsi="Tahoma"/>
          <w:sz w:val="21"/>
          <w:szCs w:val="21"/>
          <w:rtl w:val="0"/>
        </w:rPr>
        <w:t xml:space="preserve">.</w:t>
      </w:r>
    </w:p>
    <w:p w:rsidR="00000000" w:rsidDel="00000000" w:rsidP="00000000" w:rsidRDefault="00000000" w:rsidRPr="00000000" w14:paraId="0000001A">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Data hukum primer dalam penelitian ini meliputi undang-undang, yurisprudensi, serta peraturan terkait pelaksanaan arbitrase. Adapun bahan hukum sekunder diperoleh dari artikel ilmiah, literatur hukum investasi, dan publikasi akademik yang relevan. Penelitian ini juga mengkaji aspek historis dan teoritis dari penerapan putusan arbitrase melalui pengadilan Indoensia, sebagaimana dibahas oleh Sari et al. (2024)</w:t>
      </w:r>
      <w:r w:rsidDel="00000000" w:rsidR="00000000" w:rsidRPr="00000000">
        <w:rPr>
          <w:rFonts w:ascii="Tahoma" w:cs="Tahoma" w:eastAsia="Tahoma" w:hAnsi="Tahoma"/>
          <w:sz w:val="21"/>
          <w:szCs w:val="21"/>
          <w:vertAlign w:val="superscript"/>
        </w:rPr>
        <w:footnoteReference w:customMarkFollows="0" w:id="5"/>
      </w:r>
      <w:r w:rsidDel="00000000" w:rsidR="00000000" w:rsidRPr="00000000">
        <w:rPr>
          <w:rFonts w:ascii="Tahoma" w:cs="Tahoma" w:eastAsia="Tahoma" w:hAnsi="Tahoma"/>
          <w:sz w:val="21"/>
          <w:szCs w:val="21"/>
          <w:rtl w:val="0"/>
        </w:rPr>
        <w:t xml:space="preserve"> yang menekankan pentingnya keseimbangan antara kepastian hukum, keadilan, dan kemanfaatan hukum dalam eksekusi putusan arbitrase internasional.</w:t>
      </w:r>
    </w:p>
    <w:p w:rsidR="00000000" w:rsidDel="00000000" w:rsidP="00000000" w:rsidRDefault="00000000" w:rsidRPr="00000000" w14:paraId="0000001B">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Dalam praktiknya, eksekusi putusan arbitrase internasional masih terkendala oleh syarat exequatur dan dualisme hukum. Oleh karena itu, pendekatan normatif dalam penelitian ini digunakan untuk mengevaluasi konstruksi hukum yang membatasi atau mendukung keberlakuan klausul arbitrase secara efektif dalam sistem hukum nasional Indonesia (Yuniar &amp; Yuwono, 2022)</w:t>
      </w:r>
      <w:r w:rsidDel="00000000" w:rsidR="00000000" w:rsidRPr="00000000">
        <w:rPr>
          <w:rFonts w:ascii="Tahoma" w:cs="Tahoma" w:eastAsia="Tahoma" w:hAnsi="Tahoma"/>
          <w:sz w:val="21"/>
          <w:szCs w:val="21"/>
          <w:vertAlign w:val="superscript"/>
        </w:rPr>
        <w:footnoteReference w:customMarkFollows="0" w:id="6"/>
      </w:r>
      <w:r w:rsidDel="00000000" w:rsidR="00000000" w:rsidRPr="00000000">
        <w:rPr>
          <w:rFonts w:ascii="Tahoma" w:cs="Tahoma" w:eastAsia="Tahoma" w:hAnsi="Tahoma"/>
          <w:sz w:val="21"/>
          <w:szCs w:val="21"/>
          <w:rtl w:val="0"/>
        </w:rPr>
        <w:t xml:space="preserve">. Dengan metode ini, diharapkan dapat ditemukan argumentasi hukum yang kuat untuk menyarankan pembaruan regulasi maupun penguatan kelembagaan arbitrase di Indonesia.</w:t>
      </w:r>
    </w:p>
    <w:p w:rsidR="00000000" w:rsidDel="00000000" w:rsidP="00000000" w:rsidRDefault="00000000" w:rsidRPr="00000000" w14:paraId="0000001C">
      <w:pPr>
        <w:widowControl w:val="0"/>
        <w:spacing w:after="0" w:line="276" w:lineRule="auto"/>
        <w:ind w:firstLine="567"/>
        <w:jc w:val="both"/>
        <w:rPr>
          <w:rFonts w:ascii="Tahoma" w:cs="Tahoma" w:eastAsia="Tahoma" w:hAnsi="Tahoma"/>
          <w:color w:val="000000"/>
          <w:sz w:val="21"/>
          <w:szCs w:val="21"/>
        </w:rPr>
      </w:pPr>
      <w:bookmarkStart w:colFirst="0" w:colLast="0" w:name="_rd8qzykl0vqx" w:id="1"/>
      <w:bookmarkEnd w:id="1"/>
      <w:r w:rsidDel="00000000" w:rsidR="00000000" w:rsidRPr="00000000">
        <w:rPr>
          <w:rtl w:val="0"/>
        </w:rPr>
      </w:r>
    </w:p>
    <w:p w:rsidR="00000000" w:rsidDel="00000000" w:rsidP="00000000" w:rsidRDefault="00000000" w:rsidRPr="00000000" w14:paraId="0000001D">
      <w:pPr>
        <w:widowControl w:val="0"/>
        <w:spacing w:after="0" w:line="276" w:lineRule="auto"/>
        <w:jc w:val="both"/>
        <w:rPr>
          <w:rFonts w:ascii="Tahoma" w:cs="Tahoma" w:eastAsia="Tahoma" w:hAnsi="Tahoma"/>
          <w:b w:val="1"/>
          <w:color w:val="000000"/>
          <w:sz w:val="21"/>
          <w:szCs w:val="21"/>
        </w:rPr>
      </w:pPr>
      <w:r w:rsidDel="00000000" w:rsidR="00000000" w:rsidRPr="00000000">
        <w:rPr>
          <w:rFonts w:ascii="Tahoma" w:cs="Tahoma" w:eastAsia="Tahoma" w:hAnsi="Tahoma"/>
          <w:b w:val="1"/>
          <w:color w:val="000000"/>
          <w:sz w:val="21"/>
          <w:szCs w:val="21"/>
          <w:rtl w:val="0"/>
        </w:rPr>
        <w:t xml:space="preserve">III. </w:t>
      </w:r>
      <w:r w:rsidDel="00000000" w:rsidR="00000000" w:rsidRPr="00000000">
        <w:rPr>
          <w:rFonts w:ascii="Tahoma" w:cs="Tahoma" w:eastAsia="Tahoma" w:hAnsi="Tahoma"/>
          <w:b w:val="1"/>
          <w:sz w:val="21"/>
          <w:szCs w:val="21"/>
          <w:rtl w:val="0"/>
        </w:rPr>
        <w:t xml:space="preserve">KLAUSUL ARBITRASE DALAM PERSPEKTIF HUKUM INVESTASI INDONESIA</w:t>
      </w:r>
      <w:r w:rsidDel="00000000" w:rsidR="00000000" w:rsidRPr="00000000">
        <w:rPr>
          <w:rtl w:val="0"/>
        </w:rPr>
      </w:r>
    </w:p>
    <w:p w:rsidR="00000000" w:rsidDel="00000000" w:rsidP="00000000" w:rsidRDefault="00000000" w:rsidRPr="00000000" w14:paraId="0000001E">
      <w:pPr>
        <w:widowControl w:val="0"/>
        <w:spacing w:after="0" w:line="276" w:lineRule="auto"/>
        <w:ind w:left="0" w:firstLine="72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Sebagai salah satu bentuk implementasi asas kebebasan berkontrak, klausul arbitrase merupakan mekanisme penting dalam perjanjian investasi yang memberikan alternatif bagi para pihak untuk menyelesaikan sengketa di luar pengadilan. Dalam kontrak investasi, klausul ini biasanya digunakan untuk memberikan kepastian hukum dan efisiensi penyelesaian, terutama dalam konteks hubungan hukum yang kompleks dan bernilai ekonomi tinggi. </w:t>
      </w:r>
    </w:p>
    <w:p w:rsidR="00000000" w:rsidDel="00000000" w:rsidP="00000000" w:rsidRDefault="00000000" w:rsidRPr="00000000" w14:paraId="0000001F">
      <w:pPr>
        <w:widowControl w:val="0"/>
        <w:spacing w:after="0" w:line="276" w:lineRule="auto"/>
        <w:ind w:left="0" w:firstLine="72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Dalam kerangka hukum Indonesia, klausul arbitrase telah diakui legalitasnya melalui Undang-Undang Nomor 30 Tahun 1999, yang memberikan legitimasi terhadap forum arbitrase baik nasional maupun internasional. Namun, penerapannya di lapangan tidak selalu berjalan efektif. Banyak faktor, seperti interpretasi pengadilan, tumpang tindih yurisdiksi, hingga ambiguitas klausul kontraktual, yang memengaruhi efektivitas klausul arbitrase tersebut dalam praktik. Oleh karena itu, pemahaman mendalam mengenai posisi hukum, validitas, dan hambatan implementatif dari klausul arbitrase dalam sistem hukum Indonesia menjadi penting untuk menilai sejauh mana mekanisme ini dapat memberikan perlindungan hukum yang optimal bagi investor.</w:t>
      </w:r>
    </w:p>
    <w:p w:rsidR="00000000" w:rsidDel="00000000" w:rsidP="00000000" w:rsidRDefault="00000000" w:rsidRPr="00000000" w14:paraId="00000020">
      <w:pPr>
        <w:widowControl w:val="0"/>
        <w:numPr>
          <w:ilvl w:val="0"/>
          <w:numId w:val="2"/>
        </w:numPr>
        <w:spacing w:after="0" w:line="276" w:lineRule="auto"/>
        <w:ind w:left="720" w:hanging="360"/>
        <w:jc w:val="both"/>
        <w:rPr>
          <w:rFonts w:ascii="Tahoma" w:cs="Tahoma" w:eastAsia="Tahoma" w:hAnsi="Tahoma"/>
          <w:b w:val="1"/>
          <w:color w:val="000000"/>
          <w:sz w:val="21"/>
          <w:szCs w:val="21"/>
        </w:rPr>
      </w:pPr>
      <w:r w:rsidDel="00000000" w:rsidR="00000000" w:rsidRPr="00000000">
        <w:rPr>
          <w:rFonts w:ascii="Tahoma" w:cs="Tahoma" w:eastAsia="Tahoma" w:hAnsi="Tahoma"/>
          <w:b w:val="1"/>
          <w:sz w:val="21"/>
          <w:szCs w:val="21"/>
          <w:rtl w:val="0"/>
        </w:rPr>
        <w:t xml:space="preserve">Validitas Klausul Arbitrase dalam Sistem Hukum Nasional</w:t>
      </w:r>
      <w:r w:rsidDel="00000000" w:rsidR="00000000" w:rsidRPr="00000000">
        <w:rPr>
          <w:rtl w:val="0"/>
        </w:rPr>
      </w:r>
    </w:p>
    <w:p w:rsidR="00000000" w:rsidDel="00000000" w:rsidP="00000000" w:rsidRDefault="00000000" w:rsidRPr="00000000" w14:paraId="00000021">
      <w:pPr>
        <w:widowControl w:val="0"/>
        <w:spacing w:after="0" w:line="276" w:lineRule="auto"/>
        <w:ind w:left="72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Klausul arbitrase merupakan manifestasi dari asas kebebasan berkontrak yang sah secara hukum selama tidak bertentangan dengan peraturan perundang-undangan dan kesusilaan. Dalam hukum Indonesia, klausul ini diakui dan memiliki kekuatan mengikat melalui Undang-Undang Nomor 30 Tahun 1999 tentang Arbitrase dan Alternatif Penyelesaian Sengketa (UU Arbitrase). Pasal 3 dan Pasal 11 UU tersebut menegaskan bahwa keberadaan perjanjian arbitrase menutup kewenangan pengadilan negeri untuk memeriksa sengketa, kecuali dalam hal tertentu seperti pembatalan putusan atau permohonan eksekusi (Agus, 2023).</w:t>
      </w:r>
    </w:p>
    <w:p w:rsidR="00000000" w:rsidDel="00000000" w:rsidP="00000000" w:rsidRDefault="00000000" w:rsidRPr="00000000" w14:paraId="00000022">
      <w:pPr>
        <w:widowControl w:val="0"/>
        <w:spacing w:after="240" w:before="240" w:line="276" w:lineRule="auto"/>
        <w:ind w:left="72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Namun demikian, dalam praktiknya, validitas klausul arbitrase seringkali dipertanyakan, terutama jika menyangkut perkara dengan kepentingan publik atau melibatkan negara. Fakhriah dan Afriana (2023) menunjukkan bahwa pengadilan di Indonesia kadang-kadang masih menerima gugatan atas sengketa yang memiliki klausul arbitrase, dengan dalih “tidak memenuhi asas peradilan yang adil” atau karena keberadaan arbiter dinilai cacat prosedural</w:t>
      </w:r>
      <w:r w:rsidDel="00000000" w:rsidR="00000000" w:rsidRPr="00000000">
        <w:rPr>
          <w:rFonts w:ascii="Tahoma" w:cs="Tahoma" w:eastAsia="Tahoma" w:hAnsi="Tahoma"/>
          <w:sz w:val="21"/>
          <w:szCs w:val="21"/>
          <w:vertAlign w:val="superscript"/>
        </w:rPr>
        <w:footnoteReference w:customMarkFollows="0" w:id="7"/>
      </w:r>
      <w:r w:rsidDel="00000000" w:rsidR="00000000" w:rsidRPr="00000000">
        <w:rPr>
          <w:rFonts w:ascii="Tahoma" w:cs="Tahoma" w:eastAsia="Tahoma" w:hAnsi="Tahoma"/>
          <w:sz w:val="21"/>
          <w:szCs w:val="21"/>
          <w:rtl w:val="0"/>
        </w:rPr>
        <w:t xml:space="preserve">. Hal ini menunjukkan adanya tarik menarik antara kekuatan mengikat klausul arbitrase dan yurisdiksi absolut lembaga arbitrase.</w:t>
      </w:r>
    </w:p>
    <w:p w:rsidR="00000000" w:rsidDel="00000000" w:rsidP="00000000" w:rsidRDefault="00000000" w:rsidRPr="00000000" w14:paraId="00000023">
      <w:pPr>
        <w:widowControl w:val="0"/>
        <w:numPr>
          <w:ilvl w:val="0"/>
          <w:numId w:val="3"/>
        </w:numPr>
        <w:spacing w:after="0" w:line="276" w:lineRule="auto"/>
        <w:ind w:left="144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Ketidaksinkronan Regulasi dan Tantangan Yuridiksi</w:t>
      </w:r>
    </w:p>
    <w:p w:rsidR="00000000" w:rsidDel="00000000" w:rsidP="00000000" w:rsidRDefault="00000000" w:rsidRPr="00000000" w14:paraId="00000024">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Beberapa kasus investasi asing, seperti perkara Rafat Ali Rizvi vs. Republik Indonesia di International Centre for Settlement of Investment Disputes (ICSID), menunjukkan bagaimana klausul arbitrase dalam BIT (Bilateral Investment Treaty) masih bisa diperdebatkan mengenai cakupan dan yurisdiksinya jika tidak sesuai dengan hukum investasi domestik (Saputra et al., 2024)</w:t>
      </w:r>
      <w:r w:rsidDel="00000000" w:rsidR="00000000" w:rsidRPr="00000000">
        <w:rPr>
          <w:rFonts w:ascii="Tahoma" w:cs="Tahoma" w:eastAsia="Tahoma" w:hAnsi="Tahoma"/>
          <w:sz w:val="21"/>
          <w:szCs w:val="21"/>
          <w:vertAlign w:val="superscript"/>
        </w:rPr>
        <w:footnoteReference w:customMarkFollows="0" w:id="8"/>
      </w:r>
      <w:r w:rsidDel="00000000" w:rsidR="00000000" w:rsidRPr="00000000">
        <w:rPr>
          <w:rFonts w:ascii="Tahoma" w:cs="Tahoma" w:eastAsia="Tahoma" w:hAnsi="Tahoma"/>
          <w:sz w:val="21"/>
          <w:szCs w:val="21"/>
          <w:rtl w:val="0"/>
        </w:rPr>
        <w:t xml:space="preserve">. Sengketa ini menjadi penting karena menunjukkan bahwa investasi yang tidak memenuhi kriteria formal dalam UU PMA Indonesia tidak bisa otomatis dilindungi oleh BIT, walaupun terdapat klausul arbitrase.</w:t>
      </w:r>
    </w:p>
    <w:p w:rsidR="00000000" w:rsidDel="00000000" w:rsidP="00000000" w:rsidRDefault="00000000" w:rsidRPr="00000000" w14:paraId="00000025">
      <w:pPr>
        <w:widowControl w:val="0"/>
        <w:spacing w:after="0" w:line="276" w:lineRule="auto"/>
        <w:ind w:left="1440" w:firstLine="0"/>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26">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Selain itu, konflik antara pengakuan terhadap putusan arbitrase internasional dan pelaksanaan melalui mekanisme exequatur juga menjadi sumber ketidakpastian. Supeno dan Yanti (2022)</w:t>
      </w:r>
      <w:r w:rsidDel="00000000" w:rsidR="00000000" w:rsidRPr="00000000">
        <w:rPr>
          <w:rFonts w:ascii="Tahoma" w:cs="Tahoma" w:eastAsia="Tahoma" w:hAnsi="Tahoma"/>
          <w:sz w:val="21"/>
          <w:szCs w:val="21"/>
          <w:vertAlign w:val="superscript"/>
        </w:rPr>
        <w:footnoteReference w:customMarkFollows="0" w:id="9"/>
      </w:r>
      <w:r w:rsidDel="00000000" w:rsidR="00000000" w:rsidRPr="00000000">
        <w:rPr>
          <w:rFonts w:ascii="Tahoma" w:cs="Tahoma" w:eastAsia="Tahoma" w:hAnsi="Tahoma"/>
          <w:sz w:val="21"/>
          <w:szCs w:val="21"/>
          <w:rtl w:val="0"/>
        </w:rPr>
        <w:t xml:space="preserve"> mengkritisi regulasi yang membatasi pelaksanaan putusan arbitrase berdasarkan doktrin moralitas umum atau kepentingan nasional yang multitafsir. Mereka menilai hal ini tidak sejalan dengan asas finalitas dan efisiensi yang menjadi ruh dari arbitrase. Mahardhika (2022)</w:t>
      </w:r>
      <w:r w:rsidDel="00000000" w:rsidR="00000000" w:rsidRPr="00000000">
        <w:rPr>
          <w:rFonts w:ascii="Tahoma" w:cs="Tahoma" w:eastAsia="Tahoma" w:hAnsi="Tahoma"/>
          <w:sz w:val="21"/>
          <w:szCs w:val="21"/>
          <w:vertAlign w:val="superscript"/>
        </w:rPr>
        <w:footnoteReference w:customMarkFollows="0" w:id="10"/>
      </w:r>
      <w:r w:rsidDel="00000000" w:rsidR="00000000" w:rsidRPr="00000000">
        <w:rPr>
          <w:rFonts w:ascii="Tahoma" w:cs="Tahoma" w:eastAsia="Tahoma" w:hAnsi="Tahoma"/>
          <w:sz w:val="21"/>
          <w:szCs w:val="21"/>
          <w:rtl w:val="0"/>
        </w:rPr>
        <w:t xml:space="preserve"> bahkan menyatakan bahwa Indonesia perlu merumuskan model BIT yang lebih progresif agar klausul arbitrase benar-benar mengikat dan implementatif, tidak hanya secara tekstual.</w:t>
      </w:r>
    </w:p>
    <w:p w:rsidR="00000000" w:rsidDel="00000000" w:rsidP="00000000" w:rsidRDefault="00000000" w:rsidRPr="00000000" w14:paraId="00000027">
      <w:pPr>
        <w:widowControl w:val="0"/>
        <w:numPr>
          <w:ilvl w:val="0"/>
          <w:numId w:val="3"/>
        </w:numPr>
        <w:spacing w:after="0" w:line="276" w:lineRule="auto"/>
        <w:ind w:left="144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Kendala Eksekusi dan Resistensi terhadap Putusan Arbitrase</w:t>
      </w:r>
    </w:p>
    <w:p w:rsidR="00000000" w:rsidDel="00000000" w:rsidP="00000000" w:rsidRDefault="00000000" w:rsidRPr="00000000" w14:paraId="00000028">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Meskipun klausul arbitrase telah sah diakui dalam sistem hukum nasional, proses eksekusi putusan arbitrase—terutama arbitrase internasional—masih menghadapi hambatan signifikan di Indonesia. Salah satu kendala utama adalah penggunaan dalih “kepentingan ketertiban umum” atau </w:t>
      </w:r>
      <w:r w:rsidDel="00000000" w:rsidR="00000000" w:rsidRPr="00000000">
        <w:rPr>
          <w:rFonts w:ascii="Tahoma" w:cs="Tahoma" w:eastAsia="Tahoma" w:hAnsi="Tahoma"/>
          <w:i w:val="1"/>
          <w:sz w:val="21"/>
          <w:szCs w:val="21"/>
          <w:rtl w:val="0"/>
        </w:rPr>
        <w:t xml:space="preserve">public policy exception</w:t>
      </w:r>
      <w:r w:rsidDel="00000000" w:rsidR="00000000" w:rsidRPr="00000000">
        <w:rPr>
          <w:rFonts w:ascii="Tahoma" w:cs="Tahoma" w:eastAsia="Tahoma" w:hAnsi="Tahoma"/>
          <w:sz w:val="21"/>
          <w:szCs w:val="21"/>
          <w:rtl w:val="0"/>
        </w:rPr>
        <w:t xml:space="preserve"> oleh pengadilan negeri untuk menolak permohonan </w:t>
      </w:r>
      <w:r w:rsidDel="00000000" w:rsidR="00000000" w:rsidRPr="00000000">
        <w:rPr>
          <w:rFonts w:ascii="Tahoma" w:cs="Tahoma" w:eastAsia="Tahoma" w:hAnsi="Tahoma"/>
          <w:i w:val="1"/>
          <w:sz w:val="21"/>
          <w:szCs w:val="21"/>
          <w:rtl w:val="0"/>
        </w:rPr>
        <w:t xml:space="preserve">exequatur</w:t>
      </w:r>
      <w:r w:rsidDel="00000000" w:rsidR="00000000" w:rsidRPr="00000000">
        <w:rPr>
          <w:rFonts w:ascii="Tahoma" w:cs="Tahoma" w:eastAsia="Tahoma" w:hAnsi="Tahoma"/>
          <w:sz w:val="21"/>
          <w:szCs w:val="21"/>
          <w:rtl w:val="0"/>
        </w:rPr>
        <w:t xml:space="preserve">, sebagaimana diatur dalam Pasal 66 huruf c UU Arbitrase. Sugeng Rukmono et al. (2023) menunjukkan bahwa prinsip </w:t>
      </w:r>
      <w:r w:rsidDel="00000000" w:rsidR="00000000" w:rsidRPr="00000000">
        <w:rPr>
          <w:rFonts w:ascii="Tahoma" w:cs="Tahoma" w:eastAsia="Tahoma" w:hAnsi="Tahoma"/>
          <w:i w:val="1"/>
          <w:sz w:val="21"/>
          <w:szCs w:val="21"/>
          <w:rtl w:val="0"/>
        </w:rPr>
        <w:t xml:space="preserve">public policy</w:t>
      </w:r>
      <w:r w:rsidDel="00000000" w:rsidR="00000000" w:rsidRPr="00000000">
        <w:rPr>
          <w:rFonts w:ascii="Tahoma" w:cs="Tahoma" w:eastAsia="Tahoma" w:hAnsi="Tahoma"/>
          <w:sz w:val="21"/>
          <w:szCs w:val="21"/>
          <w:rtl w:val="0"/>
        </w:rPr>
        <w:t xml:space="preserve"> sering digunakan secara tidak konsisten, sehingga menimbulkan ketidakpastian hukum dan kesan perlindungan berlebih terhadap kepentingan domestik</w:t>
      </w:r>
      <w:r w:rsidDel="00000000" w:rsidR="00000000" w:rsidRPr="00000000">
        <w:rPr>
          <w:rFonts w:ascii="Tahoma" w:cs="Tahoma" w:eastAsia="Tahoma" w:hAnsi="Tahoma"/>
          <w:sz w:val="21"/>
          <w:szCs w:val="21"/>
          <w:vertAlign w:val="superscript"/>
        </w:rPr>
        <w:footnoteReference w:customMarkFollows="0" w:id="11"/>
      </w:r>
      <w:r w:rsidDel="00000000" w:rsidR="00000000" w:rsidRPr="00000000">
        <w:rPr>
          <w:rFonts w:ascii="Tahoma" w:cs="Tahoma" w:eastAsia="Tahoma" w:hAnsi="Tahoma"/>
          <w:sz w:val="21"/>
          <w:szCs w:val="21"/>
          <w:rtl w:val="0"/>
        </w:rPr>
        <w:t xml:space="preserve">.</w:t>
      </w:r>
    </w:p>
    <w:p w:rsidR="00000000" w:rsidDel="00000000" w:rsidP="00000000" w:rsidRDefault="00000000" w:rsidRPr="00000000" w14:paraId="00000029">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Selain itu, Hartini et al. (2023) menggarisbawahi bahwa putusan arbitrase internasional hanya memiliki kekuatan eksekutorial setelah didaftarkan dan memperoleh </w:t>
      </w:r>
      <w:r w:rsidDel="00000000" w:rsidR="00000000" w:rsidRPr="00000000">
        <w:rPr>
          <w:rFonts w:ascii="Tahoma" w:cs="Tahoma" w:eastAsia="Tahoma" w:hAnsi="Tahoma"/>
          <w:i w:val="1"/>
          <w:sz w:val="21"/>
          <w:szCs w:val="21"/>
          <w:rtl w:val="0"/>
        </w:rPr>
        <w:t xml:space="preserve">fiat executie</w:t>
      </w:r>
      <w:r w:rsidDel="00000000" w:rsidR="00000000" w:rsidRPr="00000000">
        <w:rPr>
          <w:rFonts w:ascii="Tahoma" w:cs="Tahoma" w:eastAsia="Tahoma" w:hAnsi="Tahoma"/>
          <w:sz w:val="21"/>
          <w:szCs w:val="21"/>
          <w:rtl w:val="0"/>
        </w:rPr>
        <w:t xml:space="preserve"> dari Pengadilan Negeri Jakarta Pusat, yang membuka ruang intervensi dalam penerapan hukum arbitrase internasional di Indonesia</w:t>
      </w:r>
      <w:r w:rsidDel="00000000" w:rsidR="00000000" w:rsidRPr="00000000">
        <w:rPr>
          <w:rFonts w:ascii="Tahoma" w:cs="Tahoma" w:eastAsia="Tahoma" w:hAnsi="Tahoma"/>
          <w:sz w:val="21"/>
          <w:szCs w:val="21"/>
          <w:vertAlign w:val="superscript"/>
        </w:rPr>
        <w:footnoteReference w:customMarkFollows="0" w:id="12"/>
      </w:r>
      <w:r w:rsidDel="00000000" w:rsidR="00000000" w:rsidRPr="00000000">
        <w:rPr>
          <w:rFonts w:ascii="Tahoma" w:cs="Tahoma" w:eastAsia="Tahoma" w:hAnsi="Tahoma"/>
          <w:sz w:val="21"/>
          <w:szCs w:val="21"/>
          <w:rtl w:val="0"/>
        </w:rPr>
        <w:t xml:space="preserve">. Hambatan lainnya juga muncul dari segi budaya hukum, kurangnya pemahaman hakim tentang karakter final dan mengikat dari putusan arbitrase, serta adanya kepentingan politik dalam perkara investasi dengan nilai strategis tinggi (Dewi, 2017)</w:t>
      </w:r>
      <w:r w:rsidDel="00000000" w:rsidR="00000000" w:rsidRPr="00000000">
        <w:rPr>
          <w:rFonts w:ascii="Tahoma" w:cs="Tahoma" w:eastAsia="Tahoma" w:hAnsi="Tahoma"/>
          <w:sz w:val="21"/>
          <w:szCs w:val="21"/>
          <w:vertAlign w:val="superscript"/>
        </w:rPr>
        <w:footnoteReference w:customMarkFollows="0" w:id="13"/>
      </w:r>
      <w:r w:rsidDel="00000000" w:rsidR="00000000" w:rsidRPr="00000000">
        <w:rPr>
          <w:rFonts w:ascii="Tahoma" w:cs="Tahoma" w:eastAsia="Tahoma" w:hAnsi="Tahoma"/>
          <w:sz w:val="21"/>
          <w:szCs w:val="21"/>
          <w:rtl w:val="0"/>
        </w:rPr>
        <w:t xml:space="preserve">.</w:t>
      </w:r>
    </w:p>
    <w:p w:rsidR="00000000" w:rsidDel="00000000" w:rsidP="00000000" w:rsidRDefault="00000000" w:rsidRPr="00000000" w14:paraId="0000002A">
      <w:pPr>
        <w:widowControl w:val="0"/>
        <w:spacing w:after="0" w:line="276" w:lineRule="auto"/>
        <w:ind w:left="1440" w:firstLine="0"/>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2B">
      <w:pPr>
        <w:widowControl w:val="0"/>
        <w:numPr>
          <w:ilvl w:val="0"/>
          <w:numId w:val="2"/>
        </w:numPr>
        <w:spacing w:after="0" w:line="276" w:lineRule="auto"/>
        <w:ind w:left="72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Urgensi Harmonisasi Regulasi dan Penguatan Lembaga Arbitrase</w:t>
      </w:r>
    </w:p>
    <w:p w:rsidR="00000000" w:rsidDel="00000000" w:rsidP="00000000" w:rsidRDefault="00000000" w:rsidRPr="00000000" w14:paraId="0000002C">
      <w:pPr>
        <w:widowControl w:val="0"/>
        <w:spacing w:after="0" w:line="276" w:lineRule="auto"/>
        <w:ind w:left="72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Melihat berbagai kendala normatif dan praktik di atas, penting untuk mendorong harmonisasi regulasi antara hukum nasional dengan prinsip-prinsip hukum arbitrase internasional. Mahkamah Agung perlu memperjelas parameter objektif mengenai batasan </w:t>
      </w:r>
      <w:r w:rsidDel="00000000" w:rsidR="00000000" w:rsidRPr="00000000">
        <w:rPr>
          <w:rFonts w:ascii="Tahoma" w:cs="Tahoma" w:eastAsia="Tahoma" w:hAnsi="Tahoma"/>
          <w:i w:val="1"/>
          <w:sz w:val="21"/>
          <w:szCs w:val="21"/>
          <w:rtl w:val="0"/>
        </w:rPr>
        <w:t xml:space="preserve">public policy</w:t>
      </w:r>
      <w:r w:rsidDel="00000000" w:rsidR="00000000" w:rsidRPr="00000000">
        <w:rPr>
          <w:rFonts w:ascii="Tahoma" w:cs="Tahoma" w:eastAsia="Tahoma" w:hAnsi="Tahoma"/>
          <w:sz w:val="21"/>
          <w:szCs w:val="21"/>
          <w:rtl w:val="0"/>
        </w:rPr>
        <w:t xml:space="preserve"> dalam Permohonan Eksekusi Arbitrase agar tidak menjadi pasal karet yang kontraproduktif terhadap kepastian hukum). Selain itu, penguatan kelembagaan arbitrase nasional seperti BANI juga menjadi kunci dalam menjamin efektivitas pelaksanaan klausul arbitrase di sektor investasi (Nasution, 2015)</w:t>
      </w:r>
      <w:r w:rsidDel="00000000" w:rsidR="00000000" w:rsidRPr="00000000">
        <w:rPr>
          <w:rFonts w:ascii="Tahoma" w:cs="Tahoma" w:eastAsia="Tahoma" w:hAnsi="Tahoma"/>
          <w:sz w:val="21"/>
          <w:szCs w:val="21"/>
          <w:vertAlign w:val="superscript"/>
        </w:rPr>
        <w:footnoteReference w:customMarkFollows="0" w:id="14"/>
      </w:r>
      <w:r w:rsidDel="00000000" w:rsidR="00000000" w:rsidRPr="00000000">
        <w:rPr>
          <w:rFonts w:ascii="Tahoma" w:cs="Tahoma" w:eastAsia="Tahoma" w:hAnsi="Tahoma"/>
          <w:sz w:val="21"/>
          <w:szCs w:val="21"/>
          <w:rtl w:val="0"/>
        </w:rPr>
        <w:t xml:space="preserve">.</w:t>
      </w:r>
    </w:p>
    <w:p w:rsidR="00000000" w:rsidDel="00000000" w:rsidP="00000000" w:rsidRDefault="00000000" w:rsidRPr="00000000" w14:paraId="0000002D">
      <w:pPr>
        <w:widowControl w:val="0"/>
        <w:spacing w:after="0" w:line="276" w:lineRule="auto"/>
        <w:ind w:left="72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Untuk itu, perlu dilakukan reformulasi terhadap prosedur </w:t>
      </w:r>
      <w:r w:rsidDel="00000000" w:rsidR="00000000" w:rsidRPr="00000000">
        <w:rPr>
          <w:rFonts w:ascii="Tahoma" w:cs="Tahoma" w:eastAsia="Tahoma" w:hAnsi="Tahoma"/>
          <w:i w:val="1"/>
          <w:sz w:val="21"/>
          <w:szCs w:val="21"/>
          <w:rtl w:val="0"/>
        </w:rPr>
        <w:t xml:space="preserve">exequatur</w:t>
      </w:r>
      <w:r w:rsidDel="00000000" w:rsidR="00000000" w:rsidRPr="00000000">
        <w:rPr>
          <w:rFonts w:ascii="Tahoma" w:cs="Tahoma" w:eastAsia="Tahoma" w:hAnsi="Tahoma"/>
          <w:sz w:val="21"/>
          <w:szCs w:val="21"/>
          <w:rtl w:val="0"/>
        </w:rPr>
        <w:t xml:space="preserve">, peningkatan kapasitas SDM lembaga arbitrase, serta edukasi yudisial terhadap aparat peradilan mengenai prinsip </w:t>
      </w:r>
      <w:r w:rsidDel="00000000" w:rsidR="00000000" w:rsidRPr="00000000">
        <w:rPr>
          <w:rFonts w:ascii="Tahoma" w:cs="Tahoma" w:eastAsia="Tahoma" w:hAnsi="Tahoma"/>
          <w:i w:val="1"/>
          <w:sz w:val="21"/>
          <w:szCs w:val="21"/>
          <w:rtl w:val="0"/>
        </w:rPr>
        <w:t xml:space="preserve">finality of award</w:t>
      </w:r>
      <w:r w:rsidDel="00000000" w:rsidR="00000000" w:rsidRPr="00000000">
        <w:rPr>
          <w:rFonts w:ascii="Tahoma" w:cs="Tahoma" w:eastAsia="Tahoma" w:hAnsi="Tahoma"/>
          <w:sz w:val="21"/>
          <w:szCs w:val="21"/>
          <w:rtl w:val="0"/>
        </w:rPr>
        <w:t xml:space="preserve"> sebagai pilar utama penyelesaian sengketa di luar pengadilan. Langkah-langkah tersebut menjadi sangat krusial untuk menjadikan arbitrase sebagai forum penyelesaian sengketa yang tidak hanya sah secara hukum, tetapi juga efektif, dapat dipercaya, dan berkeadilan bagi investor.</w:t>
      </w:r>
    </w:p>
    <w:p w:rsidR="00000000" w:rsidDel="00000000" w:rsidP="00000000" w:rsidRDefault="00000000" w:rsidRPr="00000000" w14:paraId="0000002E">
      <w:pPr>
        <w:widowControl w:val="0"/>
        <w:spacing w:after="0" w:line="276" w:lineRule="auto"/>
        <w:ind w:left="0" w:firstLine="0"/>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2F">
      <w:pPr>
        <w:widowControl w:val="0"/>
        <w:spacing w:after="0" w:line="276" w:lineRule="auto"/>
        <w:jc w:val="both"/>
        <w:rPr>
          <w:rFonts w:ascii="Tahoma" w:cs="Tahoma" w:eastAsia="Tahoma" w:hAnsi="Tahoma"/>
          <w:b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30">
      <w:pPr>
        <w:widowControl w:val="0"/>
        <w:spacing w:after="0" w:line="276" w:lineRule="auto"/>
        <w:jc w:val="both"/>
        <w:rPr>
          <w:rFonts w:ascii="Tahoma" w:cs="Tahoma" w:eastAsia="Tahoma" w:hAnsi="Tahoma"/>
          <w:b w:val="1"/>
          <w:color w:val="000000"/>
          <w:sz w:val="21"/>
          <w:szCs w:val="21"/>
        </w:rPr>
      </w:pPr>
      <w:r w:rsidDel="00000000" w:rsidR="00000000" w:rsidRPr="00000000">
        <w:rPr>
          <w:rFonts w:ascii="Tahoma" w:cs="Tahoma" w:eastAsia="Tahoma" w:hAnsi="Tahoma"/>
          <w:b w:val="1"/>
          <w:color w:val="000000"/>
          <w:sz w:val="21"/>
          <w:szCs w:val="21"/>
          <w:rtl w:val="0"/>
        </w:rPr>
        <w:t xml:space="preserve">IV. </w:t>
      </w:r>
      <w:r w:rsidDel="00000000" w:rsidR="00000000" w:rsidRPr="00000000">
        <w:rPr>
          <w:rFonts w:ascii="Tahoma" w:cs="Tahoma" w:eastAsia="Tahoma" w:hAnsi="Tahoma"/>
          <w:b w:val="1"/>
          <w:sz w:val="21"/>
          <w:szCs w:val="21"/>
          <w:rtl w:val="0"/>
        </w:rPr>
        <w:t xml:space="preserve">TANTANGAN IMPLEMENTASI DAN PENGUATAN ARBITRASE INVESTASI DI INDONESIA</w:t>
      </w:r>
      <w:r w:rsidDel="00000000" w:rsidR="00000000" w:rsidRPr="00000000">
        <w:rPr>
          <w:rtl w:val="0"/>
        </w:rPr>
      </w:r>
    </w:p>
    <w:p w:rsidR="00000000" w:rsidDel="00000000" w:rsidP="00000000" w:rsidRDefault="00000000" w:rsidRPr="00000000" w14:paraId="00000031">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Penerapan klausul arbitrase dalam penyelesaian sengketa investasi di Indonesia, meskipun telah memiliki dasar hukum yang jelas, masih menyisakan sejumlah persoalan dalam tataran praktik. Hambatan tersebut tidak hanya bersifat normatif—seperti tumpang tindih yurisdiksi dan multitafsirnya klausul public policy—tetapi juga menyangkut struktur kelembagaan dan kapasitas teknis lembaga arbitrase itu sendiri. Di tengah semakin kompleksnya skema investasi, termasuk investasi digital dan lintas negara, keberadaan sistem arbitrase yang kuat dan terpercaya menjadi kebutuhan mutlak. Oleh karena itu, kajian terhadap tantangan implementasi arbitrase serta strategi penguatan kelembagaannya menjadi penting dalam rangka menciptakan iklim investasi yang aman, adil, dan berkelanjutan di Indonesia.</w:t>
      </w:r>
    </w:p>
    <w:p w:rsidR="00000000" w:rsidDel="00000000" w:rsidP="00000000" w:rsidRDefault="00000000" w:rsidRPr="00000000" w14:paraId="00000032">
      <w:pPr>
        <w:widowControl w:val="0"/>
        <w:numPr>
          <w:ilvl w:val="0"/>
          <w:numId w:val="1"/>
        </w:numPr>
        <w:spacing w:after="0" w:line="276" w:lineRule="auto"/>
        <w:ind w:left="72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Tantangan Normatif dan Struktural dalam Implementasi Arbitrase</w:t>
      </w:r>
    </w:p>
    <w:p w:rsidR="00000000" w:rsidDel="00000000" w:rsidP="00000000" w:rsidRDefault="00000000" w:rsidRPr="00000000" w14:paraId="00000033">
      <w:pPr>
        <w:widowControl w:val="0"/>
        <w:spacing w:after="0" w:line="276" w:lineRule="auto"/>
        <w:ind w:left="72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Implementasi arbitrase dalam penyelesaian sengketa investasi di Indonesia menghadapi sejumlah tantangan, baik secara normatif maupun kelembagaan. Meskipun Undang-Undang No. 30 Tahun 1999 telah memberikan dasar hukum bagi eksistensi arbitrase, praktik di lapangan menunjukkan adanya resistensi terhadap finalitas putusan arbitrase, terutama dalam konteks arbitrase internasional. Sari et al. (2024) menyoroti bahwa salah satu akar persoalan terletak pada ketentuan exequatur yang diharuskan untuk pelaksanaan putusan arbitrase asing, yang justru membuka ruang tafsir yang bertentangan dengan asas final dan mengikat putusan arbitrase.</w:t>
      </w:r>
    </w:p>
    <w:p w:rsidR="00000000" w:rsidDel="00000000" w:rsidP="00000000" w:rsidRDefault="00000000" w:rsidRPr="00000000" w14:paraId="00000034">
      <w:pPr>
        <w:widowControl w:val="0"/>
        <w:numPr>
          <w:ilvl w:val="0"/>
          <w:numId w:val="5"/>
        </w:numPr>
        <w:spacing w:after="0" w:line="276" w:lineRule="auto"/>
        <w:ind w:left="144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Ketidaksesuaian Norma dan Ketidakpastian Hukum</w:t>
      </w:r>
    </w:p>
    <w:p w:rsidR="00000000" w:rsidDel="00000000" w:rsidP="00000000" w:rsidRDefault="00000000" w:rsidRPr="00000000" w14:paraId="00000035">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Beberapa norma hukum nasional belum sepenuhnya selaras dengan prinsip dasar arbitrase internasional, khususnya terkait prinsip finality dan efisiensi. Dalam praktiknya, pengadilan negeri masih berwenang menilai kembali substansi putusan arbitrase sebelum mengabulkan permohonan eksekusi. Hal ini dikritisi oleh Hutagalung (2023) yang menekankan perlunya revisi regulasi arbitrase agar lebih responsif terhadap kompleksitas investasi digital dan transaksi lintas negara</w:t>
      </w:r>
      <w:r w:rsidDel="00000000" w:rsidR="00000000" w:rsidRPr="00000000">
        <w:rPr>
          <w:rFonts w:ascii="Tahoma" w:cs="Tahoma" w:eastAsia="Tahoma" w:hAnsi="Tahoma"/>
          <w:sz w:val="21"/>
          <w:szCs w:val="21"/>
          <w:vertAlign w:val="superscript"/>
        </w:rPr>
        <w:footnoteReference w:customMarkFollows="0" w:id="15"/>
      </w:r>
      <w:r w:rsidDel="00000000" w:rsidR="00000000" w:rsidRPr="00000000">
        <w:rPr>
          <w:rFonts w:ascii="Tahoma" w:cs="Tahoma" w:eastAsia="Tahoma" w:hAnsi="Tahoma"/>
          <w:sz w:val="21"/>
          <w:szCs w:val="21"/>
          <w:rtl w:val="0"/>
        </w:rPr>
        <w:t xml:space="preserve">.</w:t>
      </w:r>
    </w:p>
    <w:p w:rsidR="00000000" w:rsidDel="00000000" w:rsidP="00000000" w:rsidRDefault="00000000" w:rsidRPr="00000000" w14:paraId="00000036">
      <w:pPr>
        <w:widowControl w:val="0"/>
        <w:numPr>
          <w:ilvl w:val="0"/>
          <w:numId w:val="5"/>
        </w:numPr>
        <w:spacing w:after="0" w:line="276" w:lineRule="auto"/>
        <w:ind w:left="144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Minimnya Dukungan Terhadap Penyelesaian Sengketa Investasi Negara-Pemodal</w:t>
      </w:r>
    </w:p>
    <w:p w:rsidR="00000000" w:rsidDel="00000000" w:rsidP="00000000" w:rsidRDefault="00000000" w:rsidRPr="00000000" w14:paraId="00000037">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Dalam praktik penyelesaian sengketa antara investor asing dengan negara (ISDS), Indonesia menghadapi tantangan dalam konsistensi penerapan klausul arbitrase dalam perjanjian internasional. Magiera (2017) menyatakan bahwa banyak perjanjian investasi bilateral Indonesia telah dibatalkan karena kekhawatiran terhadap risiko finansial tinggi akibat arbitrase internasional</w:t>
      </w:r>
      <w:r w:rsidDel="00000000" w:rsidR="00000000" w:rsidRPr="00000000">
        <w:rPr>
          <w:rFonts w:ascii="Tahoma" w:cs="Tahoma" w:eastAsia="Tahoma" w:hAnsi="Tahoma"/>
          <w:sz w:val="21"/>
          <w:szCs w:val="21"/>
          <w:vertAlign w:val="superscript"/>
        </w:rPr>
        <w:footnoteReference w:customMarkFollows="0" w:id="16"/>
      </w:r>
      <w:r w:rsidDel="00000000" w:rsidR="00000000" w:rsidRPr="00000000">
        <w:rPr>
          <w:rFonts w:ascii="Tahoma" w:cs="Tahoma" w:eastAsia="Tahoma" w:hAnsi="Tahoma"/>
          <w:sz w:val="21"/>
          <w:szCs w:val="21"/>
          <w:rtl w:val="0"/>
        </w:rPr>
        <w:t xml:space="preserve">. Hal ini mencerminkan adanya ketidaksiapan sistem hukum domestik untuk menampung skema ISDS secara optimal.</w:t>
      </w:r>
    </w:p>
    <w:p w:rsidR="00000000" w:rsidDel="00000000" w:rsidP="00000000" w:rsidRDefault="00000000" w:rsidRPr="00000000" w14:paraId="00000038">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Falcone (2023) menambahkan bahwa Indonesia dan negara berkembang lainnya perlu berhati-hati dalam menerima usulan pembentukan pengadilan investasi internasional permanen. Sebaliknya, penguatan sistem arbitrase yang lebih fleksibel dengan mekanisme banding yang adil dinilai lebih tepat dalam konteks regional ASEAN</w:t>
      </w:r>
      <w:r w:rsidDel="00000000" w:rsidR="00000000" w:rsidRPr="00000000">
        <w:rPr>
          <w:rFonts w:ascii="Tahoma" w:cs="Tahoma" w:eastAsia="Tahoma" w:hAnsi="Tahoma"/>
          <w:sz w:val="21"/>
          <w:szCs w:val="21"/>
          <w:vertAlign w:val="superscript"/>
        </w:rPr>
        <w:footnoteReference w:customMarkFollows="0" w:id="17"/>
      </w:r>
      <w:r w:rsidDel="00000000" w:rsidR="00000000" w:rsidRPr="00000000">
        <w:rPr>
          <w:rFonts w:ascii="Tahoma" w:cs="Tahoma" w:eastAsia="Tahoma" w:hAnsi="Tahoma"/>
          <w:sz w:val="21"/>
          <w:szCs w:val="21"/>
          <w:rtl w:val="0"/>
        </w:rPr>
        <w:t xml:space="preserve">.</w:t>
      </w:r>
    </w:p>
    <w:p w:rsidR="00000000" w:rsidDel="00000000" w:rsidP="00000000" w:rsidRDefault="00000000" w:rsidRPr="00000000" w14:paraId="00000039">
      <w:pPr>
        <w:widowControl w:val="0"/>
        <w:spacing w:after="0" w:line="276" w:lineRule="auto"/>
        <w:ind w:left="1440" w:firstLine="0"/>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3A">
      <w:pPr>
        <w:widowControl w:val="0"/>
        <w:numPr>
          <w:ilvl w:val="0"/>
          <w:numId w:val="1"/>
        </w:numPr>
        <w:spacing w:after="0" w:line="276" w:lineRule="auto"/>
        <w:ind w:left="72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Strategi Penguatan Sistem Arbitrase di Indonesia</w:t>
      </w:r>
    </w:p>
    <w:p w:rsidR="00000000" w:rsidDel="00000000" w:rsidP="00000000" w:rsidRDefault="00000000" w:rsidRPr="00000000" w14:paraId="0000003B">
      <w:pPr>
        <w:widowControl w:val="0"/>
        <w:spacing w:after="0" w:line="276" w:lineRule="auto"/>
        <w:ind w:left="72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Menghadapi tantangan tersebut, diperlukan strategi penguatan sistem arbitrase yang melibatkan pembaruan regulasi dan peningkatan kualitas kelembagaan. Yevendri (2023) menyatakan bahwa penguatan arbitrase hanya dapat tercapai jika diiringi dengan komitmen pemerintah dalam membangun sistem hukum yang inklusif, transparan, dan efisien</w:t>
      </w:r>
      <w:r w:rsidDel="00000000" w:rsidR="00000000" w:rsidRPr="00000000">
        <w:rPr>
          <w:rFonts w:ascii="Tahoma" w:cs="Tahoma" w:eastAsia="Tahoma" w:hAnsi="Tahoma"/>
          <w:sz w:val="21"/>
          <w:szCs w:val="21"/>
          <w:vertAlign w:val="superscript"/>
        </w:rPr>
        <w:footnoteReference w:customMarkFollows="0" w:id="18"/>
      </w:r>
      <w:r w:rsidDel="00000000" w:rsidR="00000000" w:rsidRPr="00000000">
        <w:rPr>
          <w:rFonts w:ascii="Tahoma" w:cs="Tahoma" w:eastAsia="Tahoma" w:hAnsi="Tahoma"/>
          <w:sz w:val="21"/>
          <w:szCs w:val="21"/>
          <w:rtl w:val="0"/>
        </w:rPr>
        <w:t xml:space="preserve">. Salah satu solusi yang diusulkan adalah harmonisasi peraturan pelaksanaan arbitrase dengan standar internasional, serta pengembangan online arbitration system yang dapat menjawab tantangan efisiensi dalam investasi digital.</w:t>
      </w:r>
    </w:p>
    <w:p w:rsidR="00000000" w:rsidDel="00000000" w:rsidP="00000000" w:rsidRDefault="00000000" w:rsidRPr="00000000" w14:paraId="0000003C">
      <w:pPr>
        <w:widowControl w:val="0"/>
        <w:numPr>
          <w:ilvl w:val="0"/>
          <w:numId w:val="4"/>
        </w:numPr>
        <w:spacing w:after="0" w:line="276" w:lineRule="auto"/>
        <w:ind w:left="144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Reformasi Lembaga Arbitrase dan Edukasi Yudisial</w:t>
      </w:r>
    </w:p>
    <w:p w:rsidR="00000000" w:rsidDel="00000000" w:rsidP="00000000" w:rsidRDefault="00000000" w:rsidRPr="00000000" w14:paraId="0000003D">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Sebagaimana dikemukakan oleh Nugraha dan Riswadi (2024), penguatan arbitrase juga memerlukan peningkatan kualitas sumber daya manusia arbiter, edukasi bagi pelaku usaha, dan peningkatan pemahaman hakim atas karakteristik putusan arbitrase</w:t>
      </w:r>
      <w:r w:rsidDel="00000000" w:rsidR="00000000" w:rsidRPr="00000000">
        <w:rPr>
          <w:rFonts w:ascii="Tahoma" w:cs="Tahoma" w:eastAsia="Tahoma" w:hAnsi="Tahoma"/>
          <w:sz w:val="21"/>
          <w:szCs w:val="21"/>
          <w:vertAlign w:val="superscript"/>
        </w:rPr>
        <w:footnoteReference w:customMarkFollows="0" w:id="19"/>
      </w:r>
      <w:r w:rsidDel="00000000" w:rsidR="00000000" w:rsidRPr="00000000">
        <w:rPr>
          <w:rFonts w:ascii="Tahoma" w:cs="Tahoma" w:eastAsia="Tahoma" w:hAnsi="Tahoma"/>
          <w:sz w:val="21"/>
          <w:szCs w:val="21"/>
          <w:rtl w:val="0"/>
        </w:rPr>
        <w:t xml:space="preserve">. Selain itu, perluasan mandat dan fasilitas teknis Badan Arbitrase Nasional Indonesia (BANI) dinilai penting untuk meningkatkan kapasitas penyelesaian sengketa secara efisien dan adil (Nasution, 2015).</w:t>
      </w:r>
    </w:p>
    <w:p w:rsidR="00000000" w:rsidDel="00000000" w:rsidP="00000000" w:rsidRDefault="00000000" w:rsidRPr="00000000" w14:paraId="0000003E">
      <w:pPr>
        <w:widowControl w:val="0"/>
        <w:numPr>
          <w:ilvl w:val="0"/>
          <w:numId w:val="4"/>
        </w:numPr>
        <w:spacing w:after="0" w:line="276" w:lineRule="auto"/>
        <w:ind w:left="1440" w:hanging="360"/>
        <w:jc w:val="both"/>
        <w:rPr>
          <w:rFonts w:ascii="Tahoma" w:cs="Tahoma" w:eastAsia="Tahoma" w:hAnsi="Tahoma"/>
          <w:b w:val="1"/>
          <w:sz w:val="21"/>
          <w:szCs w:val="21"/>
        </w:rPr>
      </w:pPr>
      <w:r w:rsidDel="00000000" w:rsidR="00000000" w:rsidRPr="00000000">
        <w:rPr>
          <w:rFonts w:ascii="Tahoma" w:cs="Tahoma" w:eastAsia="Tahoma" w:hAnsi="Tahoma"/>
          <w:b w:val="1"/>
          <w:sz w:val="21"/>
          <w:szCs w:val="21"/>
          <w:rtl w:val="0"/>
        </w:rPr>
        <w:t xml:space="preserve">Harmonisasi Internasional dan Partisipasi Global Indonesia</w:t>
      </w:r>
    </w:p>
    <w:p w:rsidR="00000000" w:rsidDel="00000000" w:rsidP="00000000" w:rsidRDefault="00000000" w:rsidRPr="00000000" w14:paraId="0000003F">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Putra (2024) menyatakan bahwa Indonesia harus aktif dalam reformasi sistem penyelesaian sengketa WTO dan forum global lainnya untuk memperkuat posisi hukum nasionalnya dalam arbitrase investasi</w:t>
      </w:r>
      <w:r w:rsidDel="00000000" w:rsidR="00000000" w:rsidRPr="00000000">
        <w:rPr>
          <w:rFonts w:ascii="Tahoma" w:cs="Tahoma" w:eastAsia="Tahoma" w:hAnsi="Tahoma"/>
          <w:sz w:val="21"/>
          <w:szCs w:val="21"/>
          <w:vertAlign w:val="superscript"/>
        </w:rPr>
        <w:footnoteReference w:customMarkFollows="0" w:id="20"/>
      </w:r>
      <w:r w:rsidDel="00000000" w:rsidR="00000000" w:rsidRPr="00000000">
        <w:rPr>
          <w:rFonts w:ascii="Tahoma" w:cs="Tahoma" w:eastAsia="Tahoma" w:hAnsi="Tahoma"/>
          <w:sz w:val="21"/>
          <w:szCs w:val="21"/>
          <w:rtl w:val="0"/>
        </w:rPr>
        <w:t xml:space="preserve">. Hal ini termasuk menyampaikan proposal konkret dalam proses negosiasi, mendorong seleksi arbiter yang transparan, dan menyelaraskan prosedur arbitrase dengan komitmen multilateral.</w:t>
      </w:r>
    </w:p>
    <w:p w:rsidR="00000000" w:rsidDel="00000000" w:rsidP="00000000" w:rsidRDefault="00000000" w:rsidRPr="00000000" w14:paraId="00000040">
      <w:pPr>
        <w:widowControl w:val="0"/>
        <w:spacing w:after="0" w:line="276" w:lineRule="auto"/>
        <w:ind w:left="1440" w:firstLine="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Sementara itu, Wibowo (2004) mengingatkan bahwa walaupun Indonesia telah meratifikasi Konvensi New York dan ICSID, belum ada reformasi besar dalam sistem pelaksanaan arbitrase yang mendukung daya saing global Indonesia sebagai negara tujuan investasi</w:t>
      </w:r>
      <w:r w:rsidDel="00000000" w:rsidR="00000000" w:rsidRPr="00000000">
        <w:rPr>
          <w:rFonts w:ascii="Tahoma" w:cs="Tahoma" w:eastAsia="Tahoma" w:hAnsi="Tahoma"/>
          <w:sz w:val="21"/>
          <w:szCs w:val="21"/>
          <w:vertAlign w:val="superscript"/>
        </w:rPr>
        <w:footnoteReference w:customMarkFollows="0" w:id="21"/>
      </w:r>
      <w:r w:rsidDel="00000000" w:rsidR="00000000" w:rsidRPr="00000000">
        <w:rPr>
          <w:rFonts w:ascii="Tahoma" w:cs="Tahoma" w:eastAsia="Tahoma" w:hAnsi="Tahoma"/>
          <w:sz w:val="21"/>
          <w:szCs w:val="21"/>
          <w:rtl w:val="0"/>
        </w:rPr>
        <w:t xml:space="preserve">. Oleh karena itu, reformasi sistem arbitrase domestik harus diimbangi dengan partisipasi aktif Indonesia dalam penyusunan standar global arbitrase investasi.</w:t>
      </w:r>
    </w:p>
    <w:p w:rsidR="00000000" w:rsidDel="00000000" w:rsidP="00000000" w:rsidRDefault="00000000" w:rsidRPr="00000000" w14:paraId="00000041">
      <w:pPr>
        <w:widowControl w:val="0"/>
        <w:spacing w:after="0" w:line="276" w:lineRule="auto"/>
        <w:ind w:firstLine="567"/>
        <w:jc w:val="both"/>
        <w:rPr>
          <w:rFonts w:ascii="Tahoma" w:cs="Tahoma" w:eastAsia="Tahoma" w:hAnsi="Tahoma"/>
          <w:color w:val="000000"/>
          <w:sz w:val="21"/>
          <w:szCs w:val="21"/>
        </w:rPr>
      </w:pPr>
      <w:r w:rsidDel="00000000" w:rsidR="00000000" w:rsidRPr="00000000">
        <w:rPr>
          <w:rtl w:val="0"/>
        </w:rPr>
      </w:r>
    </w:p>
    <w:p w:rsidR="00000000" w:rsidDel="00000000" w:rsidP="00000000" w:rsidRDefault="00000000" w:rsidRPr="00000000" w14:paraId="00000042">
      <w:pPr>
        <w:widowControl w:val="0"/>
        <w:spacing w:after="0" w:line="276" w:lineRule="auto"/>
        <w:jc w:val="both"/>
        <w:rPr>
          <w:rFonts w:ascii="Tahoma" w:cs="Tahoma" w:eastAsia="Tahoma" w:hAnsi="Tahoma"/>
          <w:b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43">
      <w:pPr>
        <w:widowControl w:val="0"/>
        <w:spacing w:after="0" w:line="276" w:lineRule="auto"/>
        <w:jc w:val="both"/>
        <w:rPr>
          <w:rFonts w:ascii="Tahoma" w:cs="Tahoma" w:eastAsia="Tahoma" w:hAnsi="Tahoma"/>
          <w:b w:val="1"/>
          <w:color w:val="000000"/>
          <w:sz w:val="21"/>
          <w:szCs w:val="21"/>
        </w:rPr>
      </w:pPr>
      <w:r w:rsidDel="00000000" w:rsidR="00000000" w:rsidRPr="00000000">
        <w:rPr>
          <w:rFonts w:ascii="Tahoma" w:cs="Tahoma" w:eastAsia="Tahoma" w:hAnsi="Tahoma"/>
          <w:b w:val="1"/>
          <w:color w:val="000000"/>
          <w:sz w:val="21"/>
          <w:szCs w:val="21"/>
          <w:rtl w:val="0"/>
        </w:rPr>
        <w:t xml:space="preserve">V. </w:t>
      </w:r>
      <w:r w:rsidDel="00000000" w:rsidR="00000000" w:rsidRPr="00000000">
        <w:rPr>
          <w:rFonts w:ascii="Tahoma" w:cs="Tahoma" w:eastAsia="Tahoma" w:hAnsi="Tahoma"/>
          <w:b w:val="1"/>
          <w:sz w:val="21"/>
          <w:szCs w:val="21"/>
          <w:rtl w:val="0"/>
        </w:rPr>
        <w:t xml:space="preserve">KESIMPULA</w:t>
      </w:r>
      <w:r w:rsidDel="00000000" w:rsidR="00000000" w:rsidRPr="00000000">
        <w:rPr>
          <w:rFonts w:ascii="Tahoma" w:cs="Tahoma" w:eastAsia="Tahoma" w:hAnsi="Tahoma"/>
          <w:b w:val="1"/>
          <w:color w:val="000000"/>
          <w:sz w:val="21"/>
          <w:szCs w:val="21"/>
          <w:rtl w:val="0"/>
        </w:rPr>
        <w:t xml:space="preserve">N</w:t>
      </w:r>
    </w:p>
    <w:p w:rsidR="00000000" w:rsidDel="00000000" w:rsidP="00000000" w:rsidRDefault="00000000" w:rsidRPr="00000000" w14:paraId="00000044">
      <w:pPr>
        <w:widowControl w:val="0"/>
        <w:spacing w:after="0" w:line="276" w:lineRule="auto"/>
        <w:ind w:left="0" w:firstLine="720"/>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Kajian ini menunjukkan bahwa meskipun klausul arbitrase dalam perjanjian investasi telah memperoleh legitimasi normatif melalui UU No. 30 Tahun 1999 dan prinsip kebebasan berkontrak, implementasinya di Indonesia masih dibayangi oleh ketidakpastian hukum, tumpang tindih yurisdiksi, serta resistensi terhadap prinsip finalitas putusan arbitrase, terutama dalam konteks internasional. Tantangan ini diperparah oleh kurangnya harmonisasi regulasi nasional dengan standar arbitrase global serta keterbatasan kelembagaan seperti minimnya pemahaman yudisial dan kualitas sumber daya arbiter. Oleh karena itu, dibutuhkan reformasi menyeluruh yang mencakup penyempurnaan norma hukum arbitrase, penguatan lembaga arbitrase nasional seperti BANI, serta peningkatan peran aktif Indonesia dalam pembentukan standar penyelesaian sengketa investasi internasional. Dengan demikian, sistem arbitrase Indonesia akan mampu menjamin perlindungan hukum yang kredibel dan mendorong iklim investasi yang stabil, efisien, dan kompetitif secara global</w:t>
      </w:r>
    </w:p>
    <w:p w:rsidR="00000000" w:rsidDel="00000000" w:rsidP="00000000" w:rsidRDefault="00000000" w:rsidRPr="00000000" w14:paraId="00000045">
      <w:pPr>
        <w:widowControl w:val="0"/>
        <w:spacing w:after="0" w:line="276" w:lineRule="auto"/>
        <w:jc w:val="both"/>
        <w:rPr>
          <w:rFonts w:ascii="Tahoma" w:cs="Tahoma" w:eastAsia="Tahoma" w:hAnsi="Tahoma"/>
          <w:b w:val="1"/>
          <w:sz w:val="21"/>
          <w:szCs w:val="21"/>
        </w:rPr>
      </w:pPr>
      <w:r w:rsidDel="00000000" w:rsidR="00000000" w:rsidRPr="00000000">
        <w:rPr>
          <w:rtl w:val="0"/>
        </w:rPr>
      </w:r>
    </w:p>
    <w:p w:rsidR="00000000" w:rsidDel="00000000" w:rsidP="00000000" w:rsidRDefault="00000000" w:rsidRPr="00000000" w14:paraId="00000046">
      <w:pPr>
        <w:widowControl w:val="0"/>
        <w:spacing w:after="0" w:line="276" w:lineRule="auto"/>
        <w:jc w:val="both"/>
        <w:rPr>
          <w:rFonts w:ascii="Tahoma" w:cs="Tahoma" w:eastAsia="Tahoma" w:hAnsi="Tahoma"/>
          <w:b w:val="1"/>
          <w:color w:val="000000"/>
          <w:sz w:val="21"/>
          <w:szCs w:val="21"/>
        </w:rPr>
      </w:pPr>
      <w:r w:rsidDel="00000000" w:rsidR="00000000" w:rsidRPr="00000000">
        <w:rPr>
          <w:rFonts w:ascii="Tahoma" w:cs="Tahoma" w:eastAsia="Tahoma" w:hAnsi="Tahoma"/>
          <w:b w:val="1"/>
          <w:color w:val="000000"/>
          <w:sz w:val="21"/>
          <w:szCs w:val="21"/>
          <w:rtl w:val="0"/>
        </w:rPr>
        <w:t xml:space="preserve">ACKNOWLEDGMENTS</w:t>
      </w:r>
    </w:p>
    <w:p w:rsidR="00000000" w:rsidDel="00000000" w:rsidP="00000000" w:rsidRDefault="00000000" w:rsidRPr="00000000" w14:paraId="00000047">
      <w:pPr>
        <w:widowControl w:val="0"/>
        <w:spacing w:after="0" w:line="240" w:lineRule="auto"/>
        <w:ind w:firstLine="567"/>
        <w:jc w:val="both"/>
        <w:rPr>
          <w:rFonts w:ascii="Tahoma" w:cs="Tahoma" w:eastAsia="Tahoma" w:hAnsi="Tahoma"/>
          <w:color w:val="000000"/>
          <w:sz w:val="21"/>
          <w:szCs w:val="21"/>
        </w:rPr>
      </w:pPr>
      <w:r w:rsidDel="00000000" w:rsidR="00000000" w:rsidRPr="00000000">
        <w:rPr>
          <w:rFonts w:ascii="Tahoma" w:cs="Tahoma" w:eastAsia="Tahoma" w:hAnsi="Tahoma"/>
          <w:sz w:val="21"/>
          <w:szCs w:val="21"/>
          <w:rtl w:val="0"/>
        </w:rPr>
        <w:t xml:space="preserve">Penulis menyampaikan terima kasih yang sebesar-besarnya kepada Dr. Maria Francisca Suryadi atas bimbingan dan masukan berharga selama proses penulisan artikel ini. Ucapan terima kasih juga disampaikan kepada Fakultas Hukum President University atas dukungan akademik dan fasilitas yang diberikan selama penelitian. Secara khusus, penulis menghargai bantuan dari rekan-rekan yang telah membantu dalam proses proofreading dan penyempurnaan naskah. Artikel ini merupakan bagian dari pemenuhan tugas akhir semester pada program sarjana Ilmu Hukum.</w:t>
      </w:r>
      <w:r w:rsidDel="00000000" w:rsidR="00000000" w:rsidRPr="00000000">
        <w:rPr>
          <w:rtl w:val="0"/>
        </w:rPr>
      </w:r>
    </w:p>
    <w:p w:rsidR="00000000" w:rsidDel="00000000" w:rsidP="00000000" w:rsidRDefault="00000000" w:rsidRPr="00000000" w14:paraId="00000048">
      <w:pPr>
        <w:widowControl w:val="0"/>
        <w:spacing w:after="0" w:line="276" w:lineRule="auto"/>
        <w:ind w:firstLine="567"/>
        <w:jc w:val="both"/>
        <w:rPr>
          <w:rFonts w:ascii="Tahoma" w:cs="Tahoma" w:eastAsia="Tahoma" w:hAnsi="Tahoma"/>
          <w:color w:val="000000"/>
          <w:sz w:val="21"/>
          <w:szCs w:val="21"/>
        </w:rPr>
      </w:pPr>
      <w:r w:rsidDel="00000000" w:rsidR="00000000" w:rsidRPr="00000000">
        <w:rPr>
          <w:rtl w:val="0"/>
        </w:rPr>
      </w:r>
    </w:p>
    <w:p w:rsidR="00000000" w:rsidDel="00000000" w:rsidP="00000000" w:rsidRDefault="00000000" w:rsidRPr="00000000" w14:paraId="00000049">
      <w:pPr>
        <w:widowControl w:val="0"/>
        <w:spacing w:after="0" w:line="276" w:lineRule="auto"/>
        <w:jc w:val="both"/>
        <w:rPr>
          <w:rFonts w:ascii="Tahoma" w:cs="Tahoma" w:eastAsia="Tahoma" w:hAnsi="Tahoma"/>
          <w:b w:val="1"/>
          <w:color w:val="000000"/>
          <w:sz w:val="21"/>
          <w:szCs w:val="21"/>
        </w:rPr>
      </w:pPr>
      <w:r w:rsidDel="00000000" w:rsidR="00000000" w:rsidRPr="00000000">
        <w:rPr>
          <w:rFonts w:ascii="Tahoma" w:cs="Tahoma" w:eastAsia="Tahoma" w:hAnsi="Tahoma"/>
          <w:b w:val="1"/>
          <w:color w:val="000000"/>
          <w:sz w:val="21"/>
          <w:szCs w:val="21"/>
          <w:rtl w:val="0"/>
        </w:rPr>
        <w:t xml:space="preserve">COMPETING INTEREST</w:t>
      </w:r>
    </w:p>
    <w:p w:rsidR="00000000" w:rsidDel="00000000" w:rsidP="00000000" w:rsidRDefault="00000000" w:rsidRPr="00000000" w14:paraId="0000004A">
      <w:pPr>
        <w:widowControl w:val="0"/>
        <w:spacing w:after="0" w:line="276" w:lineRule="auto"/>
        <w:ind w:firstLine="567"/>
        <w:jc w:val="both"/>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The author(s) will be asked to sign this statement once the submission has been accepted.</w:t>
      </w:r>
    </w:p>
    <w:p w:rsidR="00000000" w:rsidDel="00000000" w:rsidP="00000000" w:rsidRDefault="00000000" w:rsidRPr="00000000" w14:paraId="0000004B">
      <w:pPr>
        <w:widowControl w:val="0"/>
        <w:spacing w:after="0" w:line="276" w:lineRule="auto"/>
        <w:ind w:firstLine="567"/>
        <w:jc w:val="both"/>
        <w:rPr>
          <w:rFonts w:ascii="Tahoma" w:cs="Tahoma" w:eastAsia="Tahoma" w:hAnsi="Tahoma"/>
          <w:color w:val="000000"/>
          <w:sz w:val="21"/>
          <w:szCs w:val="21"/>
        </w:rPr>
      </w:pPr>
      <w:r w:rsidDel="00000000" w:rsidR="00000000" w:rsidRPr="00000000">
        <w:rPr>
          <w:rtl w:val="0"/>
        </w:rPr>
      </w:r>
    </w:p>
    <w:p w:rsidR="00000000" w:rsidDel="00000000" w:rsidP="00000000" w:rsidRDefault="00000000" w:rsidRPr="00000000" w14:paraId="0000004C">
      <w:pPr>
        <w:widowControl w:val="0"/>
        <w:spacing w:after="0" w:line="276" w:lineRule="auto"/>
        <w:jc w:val="both"/>
        <w:rPr>
          <w:rFonts w:ascii="Tahoma" w:cs="Tahoma" w:eastAsia="Tahoma" w:hAnsi="Tahoma"/>
          <w:b w:val="1"/>
          <w:sz w:val="21"/>
          <w:szCs w:val="21"/>
        </w:rPr>
      </w:pPr>
      <w:r w:rsidDel="00000000" w:rsidR="00000000" w:rsidRPr="00000000">
        <w:rPr>
          <w:rtl w:val="0"/>
        </w:rPr>
      </w:r>
    </w:p>
    <w:p w:rsidR="00000000" w:rsidDel="00000000" w:rsidP="00000000" w:rsidRDefault="00000000" w:rsidRPr="00000000" w14:paraId="0000004D">
      <w:pPr>
        <w:widowControl w:val="0"/>
        <w:spacing w:after="0" w:line="276" w:lineRule="auto"/>
        <w:jc w:val="both"/>
        <w:rPr>
          <w:rFonts w:ascii="Tahoma" w:cs="Tahoma" w:eastAsia="Tahoma" w:hAnsi="Tahoma"/>
          <w:b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4E">
      <w:pPr>
        <w:widowControl w:val="0"/>
        <w:spacing w:after="0" w:line="276" w:lineRule="auto"/>
        <w:jc w:val="both"/>
        <w:rPr>
          <w:rFonts w:ascii="Tahoma" w:cs="Tahoma" w:eastAsia="Tahoma" w:hAnsi="Tahoma"/>
          <w:b w:val="1"/>
          <w:color w:val="000000"/>
          <w:sz w:val="21"/>
          <w:szCs w:val="21"/>
        </w:rPr>
      </w:pPr>
      <w:r w:rsidDel="00000000" w:rsidR="00000000" w:rsidRPr="00000000">
        <w:rPr>
          <w:rFonts w:ascii="Tahoma" w:cs="Tahoma" w:eastAsia="Tahoma" w:hAnsi="Tahoma"/>
          <w:b w:val="1"/>
          <w:color w:val="000000"/>
          <w:sz w:val="21"/>
          <w:szCs w:val="21"/>
          <w:rtl w:val="0"/>
        </w:rPr>
        <w:t xml:space="preserve">REFEREN</w:t>
      </w:r>
      <w:r w:rsidDel="00000000" w:rsidR="00000000" w:rsidRPr="00000000">
        <w:rPr>
          <w:rFonts w:ascii="Tahoma" w:cs="Tahoma" w:eastAsia="Tahoma" w:hAnsi="Tahoma"/>
          <w:b w:val="1"/>
          <w:sz w:val="21"/>
          <w:szCs w:val="21"/>
          <w:rtl w:val="0"/>
        </w:rPr>
        <w:t xml:space="preserve">SI</w:t>
      </w:r>
      <w:r w:rsidDel="00000000" w:rsidR="00000000" w:rsidRPr="00000000">
        <w:rPr>
          <w:rtl w:val="0"/>
        </w:rPr>
      </w:r>
    </w:p>
    <w:p w:rsidR="00000000" w:rsidDel="00000000" w:rsidP="00000000" w:rsidRDefault="00000000" w:rsidRPr="00000000" w14:paraId="0000004F">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Adolf, Huala. “Indonesia, Foreign Investment and Investment Arbitration.” Dalam International Investment Law and Arbitration. Cambridge: Intersentia, 2019. https://doi.org/10.1017/9781780688404.004.</w:t>
      </w:r>
    </w:p>
    <w:p w:rsidR="00000000" w:rsidDel="00000000" w:rsidP="00000000" w:rsidRDefault="00000000" w:rsidRPr="00000000" w14:paraId="00000050">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1">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Agus, Azwir. “Aspects of Arbitral Awards in the Indonesian Justice System: Historical and Theoretical Review.” Journal of Education, Humaniora and Social Sciences 6, no. 1 (2023): 44–56. https://doi.org/10.34007/jehss.v6i1.1780.</w:t>
      </w:r>
    </w:p>
    <w:p w:rsidR="00000000" w:rsidDel="00000000" w:rsidP="00000000" w:rsidRDefault="00000000" w:rsidRPr="00000000" w14:paraId="00000052">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3">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Dewi, Yetty Komalasari, dan Arie Afriansyah. “Dispute Settlement Mechanism in Bilateral Investment Treaties (BITs).” Yuridika 34, no. 1 (2019): 153–174. https://doi.org/10.20473/YDK.V34I1.11403.</w:t>
      </w:r>
    </w:p>
    <w:p w:rsidR="00000000" w:rsidDel="00000000" w:rsidP="00000000" w:rsidRDefault="00000000" w:rsidRPr="00000000" w14:paraId="00000054">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5">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Dewi, Ayu Atika. “Problematika Pelaksanaan Putusan Arbitrase Internasional di Indonesia.” Jurnal Pembaharuan Hukum 2, no. 2 (2017): 185. https://doi.org/10.21067/JPH.V2I2.2036.</w:t>
      </w:r>
    </w:p>
    <w:p w:rsidR="00000000" w:rsidDel="00000000" w:rsidP="00000000" w:rsidRDefault="00000000" w:rsidRPr="00000000" w14:paraId="00000056">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7">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Falcone, Thomas A. “Assessing Recent Proposals to Reform the Investment Treaty Arbitration System.” Social Science Research Network (2023). https://doi.org/10.2139/ssrn.4339616.</w:t>
      </w:r>
    </w:p>
    <w:p w:rsidR="00000000" w:rsidDel="00000000" w:rsidP="00000000" w:rsidRDefault="00000000" w:rsidRPr="00000000" w14:paraId="00000058">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9">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Fakhriah, Efa Laela, dan Anita Afriana. “Cross-border of Jurisdiction between Arbitration and District Court in Business Dispute Settlement under the Indonesian Legal System.” Fiat Justisia 17, no. 3 (2023): 293–304. https://doi.org/10.25041/fiatjustisia.v17no3.3175.</w:t>
      </w:r>
    </w:p>
    <w:p w:rsidR="00000000" w:rsidDel="00000000" w:rsidP="00000000" w:rsidRDefault="00000000" w:rsidRPr="00000000" w14:paraId="0000005A">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B">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Hendrawan, Daniel. “Arbitration and Justice Denial on Foreign Direct Investment.” Indonesian Journal of International Law 13, no. 3 (2016): 434–447. https://doi.org/10.17304/IJIL.VOL13.3.659.</w:t>
      </w:r>
    </w:p>
    <w:p w:rsidR="00000000" w:rsidDel="00000000" w:rsidP="00000000" w:rsidRDefault="00000000" w:rsidRPr="00000000" w14:paraId="0000005C">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D">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Justitia Et Pax. “Perlindungan Investor Asing dari Risiko Sengketa melalui Arbitrase sebagai Forum Penyelesaian Sengketa Investasi.” Justitia Et Pax 38, no. 2 (2023): 467–516. https://doi.org/10.24002/jep.v38i2.6599.</w:t>
      </w:r>
    </w:p>
    <w:p w:rsidR="00000000" w:rsidDel="00000000" w:rsidP="00000000" w:rsidRDefault="00000000" w:rsidRPr="00000000" w14:paraId="0000005E">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5F">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Magiera, Stephen L. “International Investment Agreements and Investor-State Disputes: A Review and Evaluation for Indonesia.” Research Papers in Economics (2017). https://think-asia.org/handle/11540/7078.</w:t>
      </w:r>
    </w:p>
    <w:p w:rsidR="00000000" w:rsidDel="00000000" w:rsidP="00000000" w:rsidRDefault="00000000" w:rsidRPr="00000000" w14:paraId="00000060">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1">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Mahardhika, Nur Gemilang. “An Epilogue to Bilateral Investment Treaties Regime and the Fate of Foreign Investments Protection in Indonesia.” Jurnal Hukum IUS QUIA IUSTUM 29, no. 1 (2022): 93–117. https://doi.org/10.20885/iustum.vol29.iss1.art5.</w:t>
      </w:r>
    </w:p>
    <w:p w:rsidR="00000000" w:rsidDel="00000000" w:rsidP="00000000" w:rsidRDefault="00000000" w:rsidRPr="00000000" w14:paraId="00000062">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3">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Nasution, Achmad Rivandy. “Keberadaan Badan Arbitrase Nasional Indonesia sebagai Pilihan Penyelesaian Sengketa Hutang Piutang.” (2015): 11. https://www.neliti.com/publications/14111/keberadaan-badan-arbitrase-nasional-indonesia-sebagai-pilihan-penyelesaian-sengk.</w:t>
      </w:r>
    </w:p>
    <w:p w:rsidR="00000000" w:rsidDel="00000000" w:rsidP="00000000" w:rsidRDefault="00000000" w:rsidRPr="00000000" w14:paraId="00000064">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5">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Putra, Angga Handian. “The Reform of Dispute Settlement System of the World Trade Organization: Contribution and Perspectives from Indonesia.” Transnational Business Law Journal 5, no. 1 (2024): 68–94. https://doi.org/10.23920/transbuslj.v5i1.1643.</w:t>
      </w:r>
    </w:p>
    <w:p w:rsidR="00000000" w:rsidDel="00000000" w:rsidP="00000000" w:rsidRDefault="00000000" w:rsidRPr="00000000" w14:paraId="00000066">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7">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Rukmono, B. Sugeng, dkk. “The Urgency of the Principle of Public Policy as a Basis for Refusing the Execution of Commercial Arbitration Awards in Indonesia.” Migration Letters 20, no. 6 (2023). https://doi.org/10.59670/ml.v20i6.3502.</w:t>
      </w:r>
    </w:p>
    <w:p w:rsidR="00000000" w:rsidDel="00000000" w:rsidP="00000000" w:rsidRDefault="00000000" w:rsidRPr="00000000" w14:paraId="00000068">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9">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Saputra, Ade Rizki, dkk. “Settlement of Investment Disputes Based on the Bilateral Investment Treaty through Arbitration of the ICSID.” Formosa Journal of Sustainable Research 3, no. 11 (2024): 2411–2424. https://doi.org/10.55927/fjsr.v3i11.12226.</w:t>
      </w:r>
    </w:p>
    <w:p w:rsidR="00000000" w:rsidDel="00000000" w:rsidP="00000000" w:rsidRDefault="00000000" w:rsidRPr="00000000" w14:paraId="0000006A">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B">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Sari, Niken Junika, Ahmad Arif Zulfikar, dan Sulaiman Dorlah. “Implementation of International Arbitration Awards in Indonesia from the Perspective of Legal Value Theory.” Jurnal Media Hukum 31, no. 1 (2024): 167–185. https://doi.org/10.18196/jmh.v31i1.20026.</w:t>
      </w:r>
    </w:p>
    <w:p w:rsidR="00000000" w:rsidDel="00000000" w:rsidP="00000000" w:rsidRDefault="00000000" w:rsidRPr="00000000" w14:paraId="0000006C">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D">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Supeno, Supeno, dan Herma Yanti. “Regulations Concerning International Arbitral Awards in Indonesia.” Al-Daulah 12, no. 2 (2022). https://doi.org/10.15642/ad.2022.12.2.298-325.</w:t>
      </w:r>
    </w:p>
    <w:p w:rsidR="00000000" w:rsidDel="00000000" w:rsidP="00000000" w:rsidRDefault="00000000" w:rsidRPr="00000000" w14:paraId="0000006E">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6F">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Wibowo, Basuki Rekso. “Arbitrase Sebagai Alternatif Penyelesaian Sengketa Perdagangan di Indonesia.” Masyarakat, Kebudayaan dan Politik (2004). https://repository.unair.ac.id/32456/.</w:t>
      </w:r>
    </w:p>
    <w:p w:rsidR="00000000" w:rsidDel="00000000" w:rsidP="00000000" w:rsidRDefault="00000000" w:rsidRPr="00000000" w14:paraId="00000070">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71">
      <w:pPr>
        <w:widowControl w:val="0"/>
        <w:spacing w:after="0" w:line="276" w:lineRule="auto"/>
        <w:ind w:firstLine="567"/>
        <w:jc w:val="both"/>
        <w:rPr>
          <w:rFonts w:ascii="Tahoma" w:cs="Tahoma" w:eastAsia="Tahoma" w:hAnsi="Tahoma"/>
          <w:sz w:val="21"/>
          <w:szCs w:val="21"/>
        </w:rPr>
      </w:pPr>
      <w:r w:rsidDel="00000000" w:rsidR="00000000" w:rsidRPr="00000000">
        <w:rPr>
          <w:rFonts w:ascii="Tahoma" w:cs="Tahoma" w:eastAsia="Tahoma" w:hAnsi="Tahoma"/>
          <w:sz w:val="21"/>
          <w:szCs w:val="21"/>
          <w:rtl w:val="0"/>
        </w:rPr>
        <w:t xml:space="preserve">Yuniar, Vania Shafira, dan Florentiana Yuwono. “The Comparison Of Arbitration Dispute Resolution Process Between Indonesian National Arbitration Board (BANI) And London Court Of International Arbitration (LCIA).” Journal of Private and Commercial Law 6, no. 1 (2022): 99–110. https://doi.org/10.15294/jpcl.v6i1.30265.</w:t>
      </w:r>
    </w:p>
    <w:p w:rsidR="00000000" w:rsidDel="00000000" w:rsidP="00000000" w:rsidRDefault="00000000" w:rsidRPr="00000000" w14:paraId="00000072">
      <w:pPr>
        <w:widowControl w:val="0"/>
        <w:spacing w:after="0" w:line="276" w:lineRule="auto"/>
        <w:ind w:firstLine="567"/>
        <w:jc w:val="both"/>
        <w:rPr>
          <w:rFonts w:ascii="Tahoma" w:cs="Tahoma" w:eastAsia="Tahoma" w:hAnsi="Tahoma"/>
          <w:sz w:val="21"/>
          <w:szCs w:val="21"/>
        </w:rPr>
      </w:pPr>
      <w:r w:rsidDel="00000000" w:rsidR="00000000" w:rsidRPr="00000000">
        <w:rPr>
          <w:rtl w:val="0"/>
        </w:rPr>
      </w:r>
    </w:p>
    <w:p w:rsidR="00000000" w:rsidDel="00000000" w:rsidP="00000000" w:rsidRDefault="00000000" w:rsidRPr="00000000" w14:paraId="00000073">
      <w:pPr>
        <w:widowControl w:val="0"/>
        <w:spacing w:after="0" w:line="276" w:lineRule="auto"/>
        <w:ind w:firstLine="567"/>
        <w:jc w:val="both"/>
        <w:rPr>
          <w:rFonts w:ascii="Tahoma" w:cs="Tahoma" w:eastAsia="Tahoma" w:hAnsi="Tahoma"/>
          <w:sz w:val="21"/>
          <w:szCs w:val="2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701" w:top="1701" w:left="1701"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Trebuchet MS"/>
  <w:font w:name="Adobe Caslon Pro"/>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490"/>
        <w:tab w:val="right" w:leader="none" w:pos="9072"/>
      </w:tabs>
      <w:spacing w:after="120" w:before="0" w:line="240" w:lineRule="auto"/>
      <w:ind w:left="0" w:right="0" w:firstLine="0"/>
      <w:jc w:val="left"/>
      <w:rPr>
        <w:rFonts w:ascii="Trebuchet MS" w:cs="Trebuchet MS" w:eastAsia="Trebuchet MS" w:hAnsi="Trebuchet MS"/>
        <w:b w:val="0"/>
        <w:i w:val="1"/>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Tekso: Jurnal Pengabdian Teknik, Ekonomi dan Sosial</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ab/>
      <w:tab/>
    </w:r>
    <w:r w:rsidDel="00000000" w:rsidR="00000000" w:rsidRPr="00000000">
      <w:rPr>
        <w:rFonts w:ascii="Cambria" w:cs="Cambria" w:eastAsia="Cambria" w:hAnsi="Cambria"/>
        <w:b w:val="0"/>
        <w:i w:val="1"/>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72"/>
      </w:tabs>
      <w:spacing w:after="120" w:before="0" w:line="240" w:lineRule="auto"/>
      <w:ind w:left="0" w:right="0" w:firstLine="0"/>
      <w:jc w:val="center"/>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1"/>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i w:val="1"/>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ab/>
      <w:t xml:space="preserve">           </w:t>
    </w:r>
    <w:r w:rsidDel="00000000" w:rsidR="00000000" w:rsidRPr="00000000">
      <w:rPr>
        <w:rFonts w:ascii="Cambria" w:cs="Cambria" w:eastAsia="Cambria" w:hAnsi="Cambria"/>
        <w:b w:val="0"/>
        <w:i w:val="1"/>
        <w:smallCaps w:val="0"/>
        <w:strike w:val="0"/>
        <w:color w:val="000000"/>
        <w:sz w:val="20"/>
        <w:szCs w:val="20"/>
        <w:u w:val="none"/>
        <w:shd w:fill="auto" w:val="clear"/>
        <w:vertAlign w:val="baseline"/>
        <w:rtl w:val="0"/>
      </w:rPr>
      <w:t xml:space="preserve">Copyright</w:t>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 2024 Pada Penulis</w:t>
    </w:r>
    <w:r w:rsidDel="00000000" w:rsidR="00000000" w:rsidRPr="00000000">
      <w:drawing>
        <wp:anchor allowOverlap="1" behindDoc="0" distB="0" distT="0" distL="114300" distR="114300" hidden="0" layoutInCell="1" locked="0" relativeHeight="0" simplePos="0">
          <wp:simplePos x="0" y="0"/>
          <wp:positionH relativeFrom="column">
            <wp:posOffset>4827905</wp:posOffset>
          </wp:positionH>
          <wp:positionV relativeFrom="paragraph">
            <wp:posOffset>173990</wp:posOffset>
          </wp:positionV>
          <wp:extent cx="762000" cy="142875"/>
          <wp:effectExtent b="0" l="0" r="0" t="0"/>
          <wp:wrapNone/>
          <wp:docPr descr="Lisensi Creative Commons" id="2" name="image1.png"/>
          <a:graphic>
            <a:graphicData uri="http://schemas.openxmlformats.org/drawingml/2006/picture">
              <pic:pic>
                <pic:nvPicPr>
                  <pic:cNvPr descr="Lisensi Creative Commons" id="0" name="image1.png"/>
                  <pic:cNvPicPr preferRelativeResize="0"/>
                </pic:nvPicPr>
                <pic:blipFill>
                  <a:blip r:embed="rId1"/>
                  <a:srcRect b="0" l="0" r="0" t="0"/>
                  <a:stretch>
                    <a:fillRect/>
                  </a:stretch>
                </pic:blipFill>
                <pic:spPr>
                  <a:xfrm>
                    <a:off x="0" y="0"/>
                    <a:ext cx="762000" cy="14287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72"/>
      </w:tabs>
      <w:spacing w:after="120" w:before="0" w:line="240" w:lineRule="auto"/>
      <w:ind w:left="0" w:right="0" w:firstLine="0"/>
      <w:jc w:val="center"/>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1"/>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i w:val="1"/>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ab/>
      <w:t xml:space="preserve">           </w:t>
    </w:r>
    <w:r w:rsidDel="00000000" w:rsidR="00000000" w:rsidRPr="00000000">
      <w:rPr>
        <w:rFonts w:ascii="Cambria" w:cs="Cambria" w:eastAsia="Cambria" w:hAnsi="Cambria"/>
        <w:b w:val="0"/>
        <w:i w:val="1"/>
        <w:smallCaps w:val="0"/>
        <w:strike w:val="0"/>
        <w:color w:val="000000"/>
        <w:sz w:val="20"/>
        <w:szCs w:val="20"/>
        <w:u w:val="none"/>
        <w:shd w:fill="auto" w:val="clear"/>
        <w:vertAlign w:val="baseline"/>
        <w:rtl w:val="0"/>
      </w:rPr>
      <w:t xml:space="preserve">Copyright</w:t>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 2024 Pada Penulis</w:t>
    </w:r>
    <w:r w:rsidDel="00000000" w:rsidR="00000000" w:rsidRPr="00000000">
      <w:drawing>
        <wp:anchor allowOverlap="1" behindDoc="0" distB="0" distT="0" distL="114300" distR="114300" hidden="0" layoutInCell="1" locked="0" relativeHeight="0" simplePos="0">
          <wp:simplePos x="0" y="0"/>
          <wp:positionH relativeFrom="column">
            <wp:posOffset>4827905</wp:posOffset>
          </wp:positionH>
          <wp:positionV relativeFrom="paragraph">
            <wp:posOffset>173990</wp:posOffset>
          </wp:positionV>
          <wp:extent cx="762000" cy="142875"/>
          <wp:effectExtent b="0" l="0" r="0" t="0"/>
          <wp:wrapNone/>
          <wp:docPr descr="Lisensi Creative Commons" id="1" name="image1.png"/>
          <a:graphic>
            <a:graphicData uri="http://schemas.openxmlformats.org/drawingml/2006/picture">
              <pic:pic>
                <pic:nvPicPr>
                  <pic:cNvPr descr="Lisensi Creative Commons" id="0" name="image1.png"/>
                  <pic:cNvPicPr preferRelativeResize="0"/>
                </pic:nvPicPr>
                <pic:blipFill>
                  <a:blip r:embed="rId1"/>
                  <a:srcRect b="0" l="0" r="0" t="0"/>
                  <a:stretch>
                    <a:fillRect/>
                  </a:stretch>
                </pic:blipFill>
                <pic:spPr>
                  <a:xfrm>
                    <a:off x="0" y="0"/>
                    <a:ext cx="762000" cy="142875"/>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Daniel Hendrawan, “Arbitration and Justice Denial on Foreign Direct Investment,” Indonesian Journal of International Law 13, no. 3 (2016): 434-447,  https://doi.org/10.17304/IJIL.VOL13.3.659. </w:t>
      </w:r>
    </w:p>
  </w:footnote>
  <w:footnote w:id="1">
    <w:p w:rsidR="00000000" w:rsidDel="00000000" w:rsidP="00000000" w:rsidRDefault="00000000" w:rsidRPr="00000000" w14:paraId="0000007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Yetty Komalasari Dewi dan Arie Afriansyah, “Dispute Settlement Mechanism in Bilateral Investment Treaties (BITs),” Yuridika 34, no. 1 (2019): 153–174. https://doi.org/10.20473/YDK.V34I1.11403.</w:t>
      </w:r>
    </w:p>
  </w:footnote>
  <w:footnote w:id="2">
    <w:p w:rsidR="00000000" w:rsidDel="00000000" w:rsidP="00000000" w:rsidRDefault="00000000" w:rsidRPr="00000000" w14:paraId="0000007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Huala Adolf, Indonesia, Foreign Investment and Investment Arbitration, dalam International Investment Law and Arbitration (Cambridge: Intersentia, 2019), https://doi.org/10.1017/9781780688404.004. </w:t>
      </w:r>
    </w:p>
  </w:footnote>
  <w:footnote w:id="3">
    <w:p w:rsidR="00000000" w:rsidDel="00000000" w:rsidP="00000000" w:rsidRDefault="00000000" w:rsidRPr="00000000" w14:paraId="0000008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Justitia Et Pax, “Perlindungan Investor Asing dari Risiko Sengketa melalui Arbitrase sebagai Forum Penyelesaian Sengketa Investasi,” </w:t>
      </w:r>
      <w:r w:rsidDel="00000000" w:rsidR="00000000" w:rsidRPr="00000000">
        <w:rPr>
          <w:i w:val="1"/>
          <w:sz w:val="20"/>
          <w:szCs w:val="20"/>
          <w:rtl w:val="0"/>
        </w:rPr>
        <w:t xml:space="preserve">Justitia Et Pax</w:t>
      </w:r>
      <w:r w:rsidDel="00000000" w:rsidR="00000000" w:rsidRPr="00000000">
        <w:rPr>
          <w:sz w:val="20"/>
          <w:szCs w:val="20"/>
          <w:rtl w:val="0"/>
        </w:rPr>
        <w:t xml:space="preserve"> 38, no. 2 (2023): 467–516. https://doi.org/10.24002/jep.v38i2.6599</w:t>
      </w:r>
    </w:p>
  </w:footnote>
  <w:footnote w:id="4">
    <w:p w:rsidR="00000000" w:rsidDel="00000000" w:rsidP="00000000" w:rsidRDefault="00000000" w:rsidRPr="00000000" w14:paraId="00000081">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Azwir Agus, “Aspects of Arbitral Awards in the Indonesian Justice System: Historical and Theoretical Review,” Journal of Education, Humaniora and Social Sciences 6, no. 1 (2023), https://doi.org/10.34007/jehss.v6i1.1780.</w:t>
      </w:r>
    </w:p>
  </w:footnote>
  <w:footnote w:id="5">
    <w:p w:rsidR="00000000" w:rsidDel="00000000" w:rsidP="00000000" w:rsidRDefault="00000000" w:rsidRPr="00000000" w14:paraId="00000082">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Niken Junika Sari, Ahmad Arif Zulfikar, dan Sulaiman Dorlah, “Implementation of International Arbitration Awards in Indonesia from the Perspective of Legal Value Theory,” Jurnal Media Hukum 31, no. 1 (2024), https://doi.org/10.18196/jmh.v31i1.20026</w:t>
      </w:r>
    </w:p>
  </w:footnote>
  <w:footnote w:id="6">
    <w:p w:rsidR="00000000" w:rsidDel="00000000" w:rsidP="00000000" w:rsidRDefault="00000000" w:rsidRPr="00000000" w14:paraId="00000083">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Vania Shafira Yuniar dan Florentiana Yuwono, “The Comparison Of Arbitration Dispute Resolution Process Between Indonesian National Arbitration Board (BANI) And London Court Of International Arbitration (LCIA),” Journal of Private and Commercial Law 6, no. 1 (2022): 99–110, https://doi.org/10.15294/jpcl.v6i1.30265</w:t>
      </w:r>
    </w:p>
  </w:footnote>
  <w:footnote w:id="7">
    <w:p w:rsidR="00000000" w:rsidDel="00000000" w:rsidP="00000000" w:rsidRDefault="00000000" w:rsidRPr="00000000" w14:paraId="00000084">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Efa Laela Fakhriah dan Anita Afriana, “Cross-border of Jurisdiction between Arbitration and District Court in Business Dispute Settlement under the Indonesian Legal System,”</w:t>
      </w:r>
      <w:r w:rsidDel="00000000" w:rsidR="00000000" w:rsidRPr="00000000">
        <w:rPr>
          <w:i w:val="1"/>
          <w:sz w:val="20"/>
          <w:szCs w:val="20"/>
          <w:rtl w:val="0"/>
        </w:rPr>
        <w:t xml:space="preserve"> Fiat Justisia 17</w:t>
      </w:r>
      <w:r w:rsidDel="00000000" w:rsidR="00000000" w:rsidRPr="00000000">
        <w:rPr>
          <w:sz w:val="20"/>
          <w:szCs w:val="20"/>
          <w:rtl w:val="0"/>
        </w:rPr>
        <w:t xml:space="preserve">, no. 3 (2023): 293–304. https://doi.org/10.25041/fiatjustisia.v17no3.3175.</w:t>
      </w:r>
    </w:p>
  </w:footnote>
  <w:footnote w:id="8">
    <w:p w:rsidR="00000000" w:rsidDel="00000000" w:rsidP="00000000" w:rsidRDefault="00000000" w:rsidRPr="00000000" w14:paraId="00000085">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Ade Rizki Saputra et al., “Settlement of Investment Disputes Based on the Bilateral Investment Treaty through Arbitration of the International Centre for Settlement of Investment Disputes,” </w:t>
      </w:r>
      <w:r w:rsidDel="00000000" w:rsidR="00000000" w:rsidRPr="00000000">
        <w:rPr>
          <w:i w:val="1"/>
          <w:sz w:val="20"/>
          <w:szCs w:val="20"/>
          <w:rtl w:val="0"/>
        </w:rPr>
        <w:t xml:space="preserve">Formosa Journal of Sustainable Research 3</w:t>
      </w:r>
      <w:r w:rsidDel="00000000" w:rsidR="00000000" w:rsidRPr="00000000">
        <w:rPr>
          <w:sz w:val="20"/>
          <w:szCs w:val="20"/>
          <w:rtl w:val="0"/>
        </w:rPr>
        <w:t xml:space="preserve">, no. 11 (2024): 2411–2424. https://doi.org/10.55927/fjsr.v3i11.12226.</w:t>
      </w:r>
    </w:p>
  </w:footnote>
  <w:footnote w:id="9">
    <w:p w:rsidR="00000000" w:rsidDel="00000000" w:rsidP="00000000" w:rsidRDefault="00000000" w:rsidRPr="00000000" w14:paraId="0000008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Supeno Supeno dan Herma Yanti, “Regulations Concerning International Arbitral Awards in Indonesia,” Al-Daulah 12, no. 2 (2022), https://doi.org/10.15642/ad.2022.12.2.298-325.</w:t>
      </w:r>
    </w:p>
  </w:footnote>
  <w:footnote w:id="10">
    <w:p w:rsidR="00000000" w:rsidDel="00000000" w:rsidP="00000000" w:rsidRDefault="00000000" w:rsidRPr="00000000" w14:paraId="00000087">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Nur Gemilang Mahardhika, “An Epilogue to Bilateral Investment Treaties Regime and the Fate of Foreign Investments Protection in Indonesia,” Jurnal Hukum IUS QUIA IUSTUM 29, no. 1 (2022): 93–117. https://doi.org/10.20885/iustum.vol29.iss1.art5.</w:t>
      </w:r>
    </w:p>
  </w:footnote>
  <w:footnote w:id="11">
    <w:p w:rsidR="00000000" w:rsidDel="00000000" w:rsidP="00000000" w:rsidRDefault="00000000" w:rsidRPr="00000000" w14:paraId="00000088">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 Sugeng Rukmono et al., “The Urgency of the Principle of Public Policy as a Basis for Refusing the Execution of Commercial Arbitration Awards in Indonesia,”</w:t>
      </w:r>
      <w:r w:rsidDel="00000000" w:rsidR="00000000" w:rsidRPr="00000000">
        <w:rPr>
          <w:i w:val="1"/>
          <w:sz w:val="20"/>
          <w:szCs w:val="20"/>
          <w:rtl w:val="0"/>
        </w:rPr>
        <w:t xml:space="preserve"> Migration Letters</w:t>
      </w:r>
      <w:r w:rsidDel="00000000" w:rsidR="00000000" w:rsidRPr="00000000">
        <w:rPr>
          <w:sz w:val="20"/>
          <w:szCs w:val="20"/>
          <w:rtl w:val="0"/>
        </w:rPr>
        <w:t xml:space="preserve"> 20, no. 6 (2023): https://doi.org/10.59670/ml.v20i6.3502.</w:t>
      </w:r>
    </w:p>
  </w:footnote>
  <w:footnote w:id="12">
    <w:p w:rsidR="00000000" w:rsidDel="00000000" w:rsidP="00000000" w:rsidRDefault="00000000" w:rsidRPr="00000000" w14:paraId="0000008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Rahayu Hartini et al., “Executorial Principles in International Arbitration Awards in the Indonesian Legal System,”</w:t>
      </w:r>
      <w:r w:rsidDel="00000000" w:rsidR="00000000" w:rsidRPr="00000000">
        <w:rPr>
          <w:i w:val="1"/>
          <w:sz w:val="20"/>
          <w:szCs w:val="20"/>
          <w:rtl w:val="0"/>
        </w:rPr>
        <w:t xml:space="preserve"> Journal of Community Development</w:t>
      </w:r>
      <w:r w:rsidDel="00000000" w:rsidR="00000000" w:rsidRPr="00000000">
        <w:rPr>
          <w:sz w:val="20"/>
          <w:szCs w:val="20"/>
          <w:rtl w:val="0"/>
        </w:rPr>
        <w:t xml:space="preserve"> 3, no. 2 (2023), https://doi.org/10.51773/ajcd.v3i2.232.</w:t>
      </w:r>
    </w:p>
  </w:footnote>
  <w:footnote w:id="13">
    <w:p w:rsidR="00000000" w:rsidDel="00000000" w:rsidP="00000000" w:rsidRDefault="00000000" w:rsidRPr="00000000" w14:paraId="0000008A">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Ayu Atika Dewi, “Problematika Pelaksanaan Putusan Arbitrase Internasional di Indonesia,” Jurnal Pembaharuan Hukum 2, no. 2 (2017): 185. https://doi.org/10.21067/JPH.V2I2.2036.</w:t>
      </w:r>
    </w:p>
  </w:footnote>
  <w:footnote w:id="14">
    <w:p w:rsidR="00000000" w:rsidDel="00000000" w:rsidP="00000000" w:rsidRDefault="00000000" w:rsidRPr="00000000" w14:paraId="0000008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Achmad Rivandy Nasution, “Keberadaan Badan Arbitrase Nasional Indonesia sebagai Pilihan Penyelesaian Sengketa Hutang Piutang,” (2015) 11, 14111. https://www.neliti.com/publications/14111/keberadaan-badan-arbitrase-nasional-indonesia-sebagai-pilihan-penyelesaian-sengk.</w:t>
      </w:r>
    </w:p>
  </w:footnote>
  <w:footnote w:id="15">
    <w:p w:rsidR="00000000" w:rsidDel="00000000" w:rsidP="00000000" w:rsidRDefault="00000000" w:rsidRPr="00000000" w14:paraId="0000008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Angela Yohanna Hutagalung, “Online Arbitration as a Form of Online Dispute Resolution on Foreign Investment Dispute in Indonesia,” Journal of Social Research 2, no. 2 (2023): 433–437. https://doi.org/10.55324/josr.v2i2.607.</w:t>
      </w:r>
    </w:p>
  </w:footnote>
  <w:footnote w:id="16">
    <w:p w:rsidR="00000000" w:rsidDel="00000000" w:rsidP="00000000" w:rsidRDefault="00000000" w:rsidRPr="00000000" w14:paraId="0000008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Stephen L. Magiera, “International Investment Agreements and Investor-State Disputes: A Review and Evaluation for Indonesia,” Research Papers in Economics (2017), https://think-asia.org/handle/11540/7078.</w:t>
      </w:r>
    </w:p>
  </w:footnote>
  <w:footnote w:id="17">
    <w:p w:rsidR="00000000" w:rsidDel="00000000" w:rsidP="00000000" w:rsidRDefault="00000000" w:rsidRPr="00000000" w14:paraId="0000008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Thomas A. Falcone, “Assessing Recent Proposals to Reform the Investment Treaty Arbitration System,” Social Science Research Network (2023), https://doi.org/10.2139/ssrn.4339616.</w:t>
      </w:r>
    </w:p>
  </w:footnote>
  <w:footnote w:id="18">
    <w:p w:rsidR="00000000" w:rsidDel="00000000" w:rsidP="00000000" w:rsidRDefault="00000000" w:rsidRPr="00000000" w14:paraId="0000008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Yevendri Yevendri, “Implementation of Direct Investment Law in Indonesia,” Gema Wiralodra 14, no. 2 (2023), https://doi.org/10.31943/gw.v14i2.488.</w:t>
      </w:r>
    </w:p>
  </w:footnote>
  <w:footnote w:id="19">
    <w:p w:rsidR="00000000" w:rsidDel="00000000" w:rsidP="00000000" w:rsidRDefault="00000000" w:rsidRPr="00000000" w14:paraId="0000009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Lingga Nugraha dan Riswadi Riswadi, “Dynamics of Arbitration Choice as an Alternative Dispute Resolution for Business Disputes,” Jurnal Syntax Transformation 5, no. 12 (2024), 1325–1334. https://doi.org/10.46799/jst.v5i12.1028.</w:t>
      </w:r>
    </w:p>
  </w:footnote>
  <w:footnote w:id="20">
    <w:p w:rsidR="00000000" w:rsidDel="00000000" w:rsidP="00000000" w:rsidRDefault="00000000" w:rsidRPr="00000000" w14:paraId="00000091">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Angga Handian Putra, “The Reform of Dispute Settlement System of the World Trade Organization: Contribution and Perspectives from Indonesia,” Transnational Business Law Journal 5, no. 1 (2024), 68–94. https://doi.org/10.23920/transbuslj.v5i1.1643.</w:t>
      </w:r>
    </w:p>
  </w:footnote>
  <w:footnote w:id="21">
    <w:p w:rsidR="00000000" w:rsidDel="00000000" w:rsidP="00000000" w:rsidRDefault="00000000" w:rsidRPr="00000000" w14:paraId="00000092">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Basuki Rekso Wibowo, “Arbitrase Sebagai Alternatif Penyelesaian Sengketa Perdagangan di Indonesia,” Masyarakat, Kebudayaan dan Politik (2004), https://repository.unair.ac.id/32456/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tabs>
        <w:tab w:val="center" w:leader="none" w:pos="4513"/>
        <w:tab w:val="right" w:leader="none" w:pos="9026"/>
      </w:tabs>
      <w:spacing w:after="0" w:line="240" w:lineRule="auto"/>
      <w:rPr>
        <w:color w:val="000000"/>
        <w:sz w:val="18"/>
        <w:szCs w:val="18"/>
      </w:rPr>
    </w:pPr>
    <w:r w:rsidDel="00000000" w:rsidR="00000000" w:rsidRPr="00000000">
      <w:rPr>
        <w:rFonts w:ascii="Tahoma" w:cs="Tahoma" w:eastAsia="Tahoma" w:hAnsi="Tahoma"/>
        <w:b w:val="1"/>
        <w:color w:val="000000"/>
        <w:sz w:val="18"/>
        <w:szCs w:val="18"/>
        <w:rtl w:val="0"/>
      </w:rPr>
      <w:t xml:space="preserve">Tekso: Jurnal Pengabdian Teknik, Ekonomi dan Sosial</w:t>
    </w:r>
    <w:r w:rsidDel="00000000" w:rsidR="00000000" w:rsidRPr="00000000">
      <w:rPr>
        <w:rFonts w:ascii="Tahoma" w:cs="Tahoma" w:eastAsia="Tahoma" w:hAnsi="Tahoma"/>
        <w:i w:val="1"/>
        <w:color w:val="000000"/>
        <w:sz w:val="18"/>
        <w:szCs w:val="18"/>
        <w:rtl w:val="0"/>
      </w:rPr>
      <w:t xml:space="preserve">, </w:t>
    </w:r>
    <w:r w:rsidDel="00000000" w:rsidR="00000000" w:rsidRPr="00000000">
      <w:rPr>
        <w:rFonts w:ascii="Tahoma" w:cs="Tahoma" w:eastAsia="Tahoma" w:hAnsi="Tahoma"/>
        <w:color w:val="000000"/>
        <w:sz w:val="18"/>
        <w:szCs w:val="18"/>
        <w:rtl w:val="0"/>
      </w:rPr>
      <w:t xml:space="preserve">Volume 1, Nomor 1, Januari 2024: 1-6</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tabs>
        <w:tab w:val="center" w:leader="none" w:pos="4513"/>
        <w:tab w:val="right" w:leader="none" w:pos="9026"/>
      </w:tabs>
      <w:spacing w:after="0" w:line="240" w:lineRule="auto"/>
      <w:jc w:val="right"/>
      <w:rPr>
        <w:rFonts w:ascii="Tahoma" w:cs="Tahoma" w:eastAsia="Tahoma" w:hAnsi="Tahoma"/>
        <w:i w:val="1"/>
        <w:color w:val="000000"/>
        <w:sz w:val="18"/>
        <w:szCs w:val="18"/>
      </w:rPr>
    </w:pPr>
    <w:r w:rsidDel="00000000" w:rsidR="00000000" w:rsidRPr="00000000">
      <w:rPr>
        <w:rFonts w:ascii="Tahoma" w:cs="Tahoma" w:eastAsia="Tahoma" w:hAnsi="Tahoma"/>
        <w:color w:val="000000"/>
        <w:sz w:val="18"/>
        <w:szCs w:val="18"/>
        <w:rtl w:val="0"/>
      </w:rPr>
      <w:t xml:space="preserve">Sulastini, et al. Pelatihan Manajemen Pemasaran Digital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spacing w:after="0" w:lineRule="auto"/>
      <w:rPr>
        <w:rFonts w:ascii="Cambria" w:cs="Cambria" w:eastAsia="Cambria" w:hAnsi="Cambria"/>
        <w:b w:val="1"/>
        <w:sz w:val="20"/>
        <w:szCs w:val="20"/>
      </w:rPr>
    </w:pPr>
    <w:bookmarkStart w:colFirst="0" w:colLast="0" w:name="_vrjpjmuhu0jz" w:id="2"/>
    <w:bookmarkEnd w:id="2"/>
    <w:r w:rsidDel="00000000" w:rsidR="00000000" w:rsidRPr="00000000">
      <w:rPr>
        <w:rFonts w:ascii="Cambria" w:cs="Cambria" w:eastAsia="Cambria" w:hAnsi="Cambria"/>
        <w:b w:val="1"/>
        <w:sz w:val="20"/>
        <w:szCs w:val="20"/>
        <w:rtl w:val="0"/>
      </w:rPr>
      <w:t xml:space="preserve">Tekso: Jurnal Pengabdian Teknik, Ekonomi dan Sosial</w:t>
    </w:r>
  </w:p>
  <w:p w:rsidR="00000000" w:rsidDel="00000000" w:rsidP="00000000" w:rsidRDefault="00000000" w:rsidRPr="00000000" w14:paraId="00000077">
    <w:pPr>
      <w:spacing w:after="0" w:lineRule="auto"/>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Volume 2, Nomor 1, Juni 2025: 1-6</w:t>
    </w:r>
  </w:p>
  <w:p w:rsidR="00000000" w:rsidDel="00000000" w:rsidP="00000000" w:rsidRDefault="00000000" w:rsidRPr="00000000" w14:paraId="00000078">
    <w:pPr>
      <w:tabs>
        <w:tab w:val="left" w:leader="none" w:pos="1920"/>
      </w:tabs>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E-ISSN: xxxx-xxxx</w:t>
      <w:tab/>
    </w:r>
  </w:p>
  <w:p w:rsidR="00000000" w:rsidDel="00000000" w:rsidP="00000000" w:rsidRDefault="00000000" w:rsidRPr="00000000" w14:paraId="00000079">
    <w:pPr>
      <w:tabs>
        <w:tab w:val="left" w:leader="none" w:pos="1920"/>
      </w:tabs>
      <w:rPr>
        <w:rFonts w:ascii="Cambria" w:cs="Cambria" w:eastAsia="Cambria" w:hAnsi="Cambria"/>
        <w:sz w:val="16"/>
        <w:szCs w:val="16"/>
      </w:rPr>
    </w:pPr>
    <w:r w:rsidDel="00000000" w:rsidR="00000000" w:rsidRPr="00000000">
      <w:rPr>
        <w:rFonts w:ascii="Adobe Caslon Pro" w:cs="Adobe Caslon Pro" w:eastAsia="Adobe Caslon Pro" w:hAnsi="Adobe Caslon Pro"/>
        <w:sz w:val="18"/>
        <w:szCs w:val="18"/>
        <w:rtl w:val="0"/>
      </w:rPr>
      <w:t xml:space="preserve">Published biannually by LP3KTK</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spacing w:after="0" w:before="200" w:lineRule="auto"/>
    </w:pPr>
    <w:rPr>
      <w:rFonts w:ascii="Cambria" w:cs="Cambria" w:eastAsia="Cambria" w:hAnsi="Cambria"/>
      <w:color w:val="243f60"/>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9683153188FC4310AC47450878965352_12</vt:lpwstr>
  </property>
  <property fmtid="{D5CDD505-2E9C-101B-9397-08002B2CF9AE}" pid="4" name="GrammarlyDocumentId">
    <vt:lpwstr>b95d0d9b-eafb-45e6-8fdb-1bae3563e406</vt:lpwstr>
  </property>
</Properties>
</file>